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DE030E" w14:textId="77777777" w:rsidR="00915114" w:rsidRPr="00916B56" w:rsidRDefault="001F7CA9" w:rsidP="00915114">
      <w:pPr>
        <w:jc w:val="center"/>
        <w:rPr>
          <w:rFonts w:ascii="Times New Roman" w:hAnsi="Times New Roman" w:cs="Times New Roman"/>
          <w:b/>
          <w:szCs w:val="21"/>
          <w:lang w:val="en"/>
        </w:rPr>
      </w:pPr>
      <w:r w:rsidRPr="00916B56">
        <w:rPr>
          <w:rFonts w:ascii="Times New Roman" w:hAnsi="Times New Roman" w:cs="Times New Roman"/>
          <w:b/>
          <w:szCs w:val="21"/>
          <w:lang w:val="en"/>
        </w:rPr>
        <w:t xml:space="preserve"> </w:t>
      </w:r>
      <w:r w:rsidR="00915114" w:rsidRPr="00916B56">
        <w:rPr>
          <w:rFonts w:ascii="Times New Roman" w:hAnsi="Times New Roman" w:cs="Times New Roman"/>
          <w:b/>
          <w:szCs w:val="21"/>
          <w:lang w:val="en"/>
        </w:rPr>
        <w:t xml:space="preserve">Shanghai Putailai New Energy Technology </w:t>
      </w:r>
      <w:r w:rsidR="00E63A80" w:rsidRPr="00916B56">
        <w:rPr>
          <w:rFonts w:ascii="Times New Roman" w:hAnsi="Times New Roman" w:cs="Times New Roman"/>
          <w:b/>
          <w:szCs w:val="21"/>
          <w:lang w:val="en"/>
        </w:rPr>
        <w:t xml:space="preserve">Group </w:t>
      </w:r>
      <w:r w:rsidR="00915114" w:rsidRPr="00916B56">
        <w:rPr>
          <w:rFonts w:ascii="Times New Roman" w:hAnsi="Times New Roman" w:cs="Times New Roman"/>
          <w:b/>
          <w:szCs w:val="21"/>
          <w:lang w:val="en"/>
        </w:rPr>
        <w:t>Co., Ltd.</w:t>
      </w:r>
    </w:p>
    <w:p w14:paraId="3C27DE2B" w14:textId="1A7E90C8" w:rsidR="00915114" w:rsidRPr="00916B56" w:rsidRDefault="005302C4" w:rsidP="00915114">
      <w:pPr>
        <w:jc w:val="center"/>
        <w:rPr>
          <w:rFonts w:ascii="Times New Roman" w:hAnsi="Times New Roman" w:cs="Times New Roman"/>
          <w:b/>
          <w:szCs w:val="21"/>
          <w:lang w:val="en"/>
        </w:rPr>
      </w:pPr>
      <w:r w:rsidRPr="00916B56">
        <w:rPr>
          <w:rFonts w:ascii="Times New Roman" w:hAnsi="Times New Roman" w:cs="Times New Roman"/>
          <w:b/>
          <w:szCs w:val="21"/>
          <w:lang w:val="en"/>
        </w:rPr>
        <w:t>202</w:t>
      </w:r>
      <w:r>
        <w:rPr>
          <w:rFonts w:ascii="Times New Roman" w:hAnsi="Times New Roman" w:cs="Times New Roman" w:hint="eastAsia"/>
          <w:b/>
          <w:szCs w:val="21"/>
          <w:lang w:val="en"/>
        </w:rPr>
        <w:t>6</w:t>
      </w:r>
      <w:r w:rsidRPr="00916B56">
        <w:rPr>
          <w:rFonts w:ascii="Times New Roman" w:hAnsi="Times New Roman" w:cs="Times New Roman"/>
          <w:b/>
          <w:szCs w:val="21"/>
          <w:lang w:val="en"/>
        </w:rPr>
        <w:t xml:space="preserve"> </w:t>
      </w:r>
      <w:r>
        <w:rPr>
          <w:rFonts w:ascii="Times New Roman" w:hAnsi="Times New Roman" w:cs="Times New Roman" w:hint="eastAsia"/>
          <w:b/>
          <w:szCs w:val="21"/>
          <w:lang w:val="en"/>
        </w:rPr>
        <w:t>Interim</w:t>
      </w:r>
      <w:r w:rsidRPr="00916B56">
        <w:rPr>
          <w:rFonts w:ascii="Times New Roman" w:hAnsi="Times New Roman" w:cs="Times New Roman"/>
          <w:b/>
          <w:szCs w:val="21"/>
          <w:lang w:val="en"/>
        </w:rPr>
        <w:t xml:space="preserve"> </w:t>
      </w:r>
      <w:r w:rsidR="00915114" w:rsidRPr="00916B56">
        <w:rPr>
          <w:rFonts w:ascii="Times New Roman" w:hAnsi="Times New Roman" w:cs="Times New Roman"/>
          <w:b/>
          <w:szCs w:val="21"/>
          <w:lang w:val="en"/>
        </w:rPr>
        <w:t>Report Summary</w:t>
      </w:r>
    </w:p>
    <w:p w14:paraId="6082E64B" w14:textId="77777777" w:rsidR="00915114" w:rsidRPr="00916B56" w:rsidRDefault="00915114" w:rsidP="00915114">
      <w:pPr>
        <w:keepNext/>
        <w:keepLines/>
        <w:numPr>
          <w:ilvl w:val="1"/>
          <w:numId w:val="1"/>
        </w:numPr>
        <w:spacing w:before="60" w:after="60"/>
        <w:ind w:left="498" w:hangingChars="236" w:hanging="498"/>
        <w:outlineLvl w:val="1"/>
        <w:rPr>
          <w:rFonts w:ascii="Times New Roman" w:eastAsia="宋体" w:hAnsi="Times New Roman" w:cs="Times New Roman"/>
          <w:b/>
          <w:bCs/>
          <w:szCs w:val="21"/>
          <w:u w:val="single"/>
          <w:lang w:val="en"/>
        </w:rPr>
      </w:pPr>
      <w:bookmarkStart w:id="0" w:name="_Toc342051041"/>
      <w:bookmarkStart w:id="1" w:name="_Toc342565881"/>
      <w:r w:rsidRPr="00916B56">
        <w:rPr>
          <w:rFonts w:ascii="Times New Roman" w:eastAsia="宋体" w:hAnsi="Times New Roman" w:cs="Times New Roman"/>
          <w:b/>
          <w:bCs/>
          <w:szCs w:val="21"/>
          <w:lang w:val="en"/>
        </w:rPr>
        <w:t>Company Information</w:t>
      </w:r>
      <w:bookmarkEnd w:id="0"/>
      <w:bookmarkEnd w:id="1"/>
      <w:r w:rsidRPr="00916B56">
        <w:rPr>
          <w:rFonts w:ascii="Times New Roman" w:eastAsia="宋体" w:hAnsi="Times New Roman" w:cs="Times New Roman"/>
          <w:b/>
          <w:bCs/>
          <w:szCs w:val="21"/>
          <w:lang w:val="en"/>
        </w:rPr>
        <w:t xml:space="preserve"> </w:t>
      </w:r>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255"/>
        <w:gridCol w:w="5041"/>
      </w:tblGrid>
      <w:tr w:rsidR="00FD0F1A" w:rsidRPr="00916B56" w14:paraId="263774B2" w14:textId="77777777" w:rsidTr="0079560C">
        <w:trPr>
          <w:trHeight w:val="293"/>
        </w:trPr>
        <w:tc>
          <w:tcPr>
            <w:tcW w:w="1962" w:type="pct"/>
            <w:tcBorders>
              <w:top w:val="single" w:sz="4" w:space="0" w:color="auto"/>
              <w:bottom w:val="single" w:sz="4" w:space="0" w:color="auto"/>
              <w:right w:val="single" w:sz="4" w:space="0" w:color="auto"/>
            </w:tcBorders>
            <w:vAlign w:val="center"/>
          </w:tcPr>
          <w:p w14:paraId="18C9C0D0" w14:textId="77777777"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Name of Putailai in Chinese</w:t>
            </w:r>
          </w:p>
        </w:tc>
        <w:tc>
          <w:tcPr>
            <w:tcW w:w="3038" w:type="pct"/>
            <w:tcBorders>
              <w:top w:val="single" w:sz="4" w:space="0" w:color="auto"/>
              <w:left w:val="single" w:sz="4" w:space="0" w:color="auto"/>
              <w:bottom w:val="single" w:sz="4" w:space="0" w:color="auto"/>
            </w:tcBorders>
          </w:tcPr>
          <w:p w14:paraId="0EF69ED1" w14:textId="70AA32F4"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上海璞泰来新能源科技</w:t>
            </w:r>
            <w:r w:rsidR="00AA1F00" w:rsidRPr="00916B56">
              <w:rPr>
                <w:rFonts w:ascii="Times New Roman" w:hAnsi="Times New Roman" w:hint="eastAsia"/>
                <w:sz w:val="21"/>
                <w:szCs w:val="21"/>
              </w:rPr>
              <w:t>集团</w:t>
            </w:r>
            <w:r w:rsidRPr="00916B56">
              <w:rPr>
                <w:rFonts w:ascii="Times New Roman" w:hAnsi="Times New Roman"/>
                <w:sz w:val="21"/>
                <w:szCs w:val="21"/>
              </w:rPr>
              <w:t>股份有限公司</w:t>
            </w:r>
          </w:p>
        </w:tc>
      </w:tr>
      <w:tr w:rsidR="00FD0F1A" w:rsidRPr="00916B56" w14:paraId="5406A5C1" w14:textId="77777777" w:rsidTr="0079560C">
        <w:trPr>
          <w:trHeight w:val="293"/>
        </w:trPr>
        <w:tc>
          <w:tcPr>
            <w:tcW w:w="1962" w:type="pct"/>
            <w:tcBorders>
              <w:top w:val="single" w:sz="4" w:space="0" w:color="auto"/>
              <w:bottom w:val="single" w:sz="4" w:space="0" w:color="auto"/>
              <w:right w:val="single" w:sz="4" w:space="0" w:color="auto"/>
            </w:tcBorders>
            <w:vAlign w:val="center"/>
          </w:tcPr>
          <w:p w14:paraId="3884900E" w14:textId="77777777"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 xml:space="preserve">Abbr. of Putailai name in Chinese </w:t>
            </w:r>
          </w:p>
        </w:tc>
        <w:tc>
          <w:tcPr>
            <w:tcW w:w="3038" w:type="pct"/>
            <w:tcBorders>
              <w:top w:val="single" w:sz="4" w:space="0" w:color="auto"/>
              <w:left w:val="single" w:sz="4" w:space="0" w:color="auto"/>
              <w:bottom w:val="single" w:sz="4" w:space="0" w:color="auto"/>
            </w:tcBorders>
          </w:tcPr>
          <w:p w14:paraId="50973630" w14:textId="77777777"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璞泰来</w:t>
            </w:r>
          </w:p>
        </w:tc>
      </w:tr>
      <w:tr w:rsidR="00FD0F1A" w:rsidRPr="00916B56" w14:paraId="6D104874" w14:textId="77777777" w:rsidTr="0079560C">
        <w:trPr>
          <w:trHeight w:val="293"/>
        </w:trPr>
        <w:tc>
          <w:tcPr>
            <w:tcW w:w="1962" w:type="pct"/>
            <w:tcBorders>
              <w:top w:val="single" w:sz="4" w:space="0" w:color="auto"/>
              <w:bottom w:val="single" w:sz="4" w:space="0" w:color="auto"/>
              <w:right w:val="single" w:sz="4" w:space="0" w:color="auto"/>
            </w:tcBorders>
            <w:vAlign w:val="center"/>
          </w:tcPr>
          <w:p w14:paraId="1E11C08C" w14:textId="77777777"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Name of Putailai in English</w:t>
            </w:r>
          </w:p>
        </w:tc>
        <w:tc>
          <w:tcPr>
            <w:tcW w:w="3038" w:type="pct"/>
            <w:tcBorders>
              <w:top w:val="single" w:sz="4" w:space="0" w:color="auto"/>
              <w:left w:val="single" w:sz="4" w:space="0" w:color="auto"/>
              <w:bottom w:val="single" w:sz="4" w:space="0" w:color="auto"/>
            </w:tcBorders>
          </w:tcPr>
          <w:p w14:paraId="2A146FC3" w14:textId="54457799"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Shanghai Putailai New Energy Technology</w:t>
            </w:r>
            <w:r w:rsidR="00424D45" w:rsidRPr="00916B56">
              <w:rPr>
                <w:rFonts w:ascii="Times New Roman" w:hAnsi="Times New Roman"/>
                <w:b/>
                <w:szCs w:val="21"/>
              </w:rPr>
              <w:t xml:space="preserve"> </w:t>
            </w:r>
            <w:r w:rsidR="00424D45" w:rsidRPr="00916B56">
              <w:rPr>
                <w:rFonts w:ascii="Times New Roman" w:hAnsi="Times New Roman"/>
                <w:bCs/>
                <w:szCs w:val="21"/>
              </w:rPr>
              <w:t>Group</w:t>
            </w:r>
            <w:r w:rsidRPr="00916B56">
              <w:rPr>
                <w:rFonts w:ascii="Times New Roman" w:hAnsi="Times New Roman"/>
                <w:bCs/>
                <w:sz w:val="21"/>
                <w:szCs w:val="21"/>
              </w:rPr>
              <w:t xml:space="preserve"> </w:t>
            </w:r>
            <w:r w:rsidRPr="00916B56">
              <w:rPr>
                <w:rFonts w:ascii="Times New Roman" w:hAnsi="Times New Roman"/>
                <w:sz w:val="21"/>
                <w:szCs w:val="21"/>
              </w:rPr>
              <w:t>Co., Ltd.</w:t>
            </w:r>
          </w:p>
        </w:tc>
      </w:tr>
      <w:tr w:rsidR="00FD0F1A" w:rsidRPr="00916B56" w14:paraId="3716F8EC" w14:textId="77777777" w:rsidTr="0079560C">
        <w:trPr>
          <w:trHeight w:val="293"/>
        </w:trPr>
        <w:tc>
          <w:tcPr>
            <w:tcW w:w="1962" w:type="pct"/>
            <w:tcBorders>
              <w:top w:val="single" w:sz="4" w:space="0" w:color="auto"/>
              <w:bottom w:val="single" w:sz="4" w:space="0" w:color="auto"/>
              <w:right w:val="single" w:sz="4" w:space="0" w:color="auto"/>
            </w:tcBorders>
            <w:vAlign w:val="center"/>
          </w:tcPr>
          <w:p w14:paraId="24B88852" w14:textId="77777777"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 xml:space="preserve">Abbr. of Putailai name in English </w:t>
            </w:r>
          </w:p>
        </w:tc>
        <w:tc>
          <w:tcPr>
            <w:tcW w:w="3038" w:type="pct"/>
            <w:tcBorders>
              <w:top w:val="single" w:sz="4" w:space="0" w:color="auto"/>
              <w:left w:val="single" w:sz="4" w:space="0" w:color="auto"/>
              <w:bottom w:val="single" w:sz="4" w:space="0" w:color="auto"/>
            </w:tcBorders>
          </w:tcPr>
          <w:p w14:paraId="56528722" w14:textId="77777777" w:rsidR="00915114" w:rsidRPr="00916B56" w:rsidRDefault="00C05BAF"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PTL</w:t>
            </w:r>
          </w:p>
        </w:tc>
      </w:tr>
      <w:tr w:rsidR="00915114" w:rsidRPr="00916B56" w14:paraId="1ED39A00" w14:textId="77777777" w:rsidTr="0079560C">
        <w:trPr>
          <w:trHeight w:val="293"/>
        </w:trPr>
        <w:tc>
          <w:tcPr>
            <w:tcW w:w="1962" w:type="pct"/>
            <w:tcBorders>
              <w:top w:val="single" w:sz="4" w:space="0" w:color="auto"/>
              <w:bottom w:val="single" w:sz="4" w:space="0" w:color="auto"/>
              <w:right w:val="single" w:sz="4" w:space="0" w:color="auto"/>
            </w:tcBorders>
            <w:vAlign w:val="center"/>
          </w:tcPr>
          <w:p w14:paraId="075839D9" w14:textId="77777777"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Legal Representative</w:t>
            </w:r>
          </w:p>
        </w:tc>
        <w:tc>
          <w:tcPr>
            <w:tcW w:w="3038" w:type="pct"/>
            <w:tcBorders>
              <w:top w:val="single" w:sz="4" w:space="0" w:color="auto"/>
              <w:left w:val="single" w:sz="4" w:space="0" w:color="auto"/>
              <w:bottom w:val="single" w:sz="4" w:space="0" w:color="auto"/>
            </w:tcBorders>
          </w:tcPr>
          <w:p w14:paraId="5EAFF194" w14:textId="77777777"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Liang Feng</w:t>
            </w:r>
          </w:p>
        </w:tc>
      </w:tr>
    </w:tbl>
    <w:p w14:paraId="36C7C6AB" w14:textId="77777777" w:rsidR="00915114" w:rsidRPr="00916B56" w:rsidRDefault="00915114" w:rsidP="00915114">
      <w:pPr>
        <w:rPr>
          <w:rFonts w:ascii="Times New Roman" w:hAnsi="Times New Roman" w:cs="Times New Roman"/>
          <w:szCs w:val="21"/>
          <w:lang w:val="en"/>
        </w:rPr>
      </w:pPr>
    </w:p>
    <w:tbl>
      <w:tblPr>
        <w:tblStyle w:val="g1"/>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988"/>
        <w:gridCol w:w="3543"/>
        <w:gridCol w:w="3765"/>
      </w:tblGrid>
      <w:tr w:rsidR="00FD0F1A" w:rsidRPr="00916B56" w14:paraId="017B2DC5" w14:textId="77777777" w:rsidTr="00A04AB2">
        <w:tc>
          <w:tcPr>
            <w:tcW w:w="595" w:type="pct"/>
            <w:tcBorders>
              <w:top w:val="single" w:sz="4" w:space="0" w:color="auto"/>
              <w:bottom w:val="single" w:sz="4" w:space="0" w:color="auto"/>
              <w:right w:val="single" w:sz="4" w:space="0" w:color="auto"/>
            </w:tcBorders>
          </w:tcPr>
          <w:p w14:paraId="291D71B4" w14:textId="77777777"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p>
        </w:tc>
        <w:tc>
          <w:tcPr>
            <w:tcW w:w="2135" w:type="pct"/>
            <w:tcBorders>
              <w:top w:val="single" w:sz="4" w:space="0" w:color="auto"/>
              <w:left w:val="single" w:sz="4" w:space="0" w:color="auto"/>
              <w:bottom w:val="single" w:sz="4" w:space="0" w:color="auto"/>
              <w:right w:val="single" w:sz="4" w:space="0" w:color="auto"/>
            </w:tcBorders>
          </w:tcPr>
          <w:p w14:paraId="699FC939" w14:textId="77777777" w:rsidR="00915114" w:rsidRPr="00916B56" w:rsidRDefault="00915114" w:rsidP="00915114">
            <w:pPr>
              <w:kinsoku w:val="0"/>
              <w:overflowPunct w:val="0"/>
              <w:autoSpaceDE w:val="0"/>
              <w:autoSpaceDN w:val="0"/>
              <w:adjustRightInd w:val="0"/>
              <w:snapToGrid w:val="0"/>
              <w:jc w:val="center"/>
              <w:rPr>
                <w:rFonts w:ascii="Times New Roman" w:hAnsi="Times New Roman"/>
                <w:sz w:val="21"/>
                <w:szCs w:val="21"/>
              </w:rPr>
            </w:pPr>
            <w:r w:rsidRPr="00916B56">
              <w:rPr>
                <w:rFonts w:ascii="Times New Roman" w:hAnsi="Times New Roman"/>
                <w:sz w:val="21"/>
                <w:szCs w:val="21"/>
              </w:rPr>
              <w:t>Secretary of the Board</w:t>
            </w:r>
          </w:p>
        </w:tc>
        <w:tc>
          <w:tcPr>
            <w:tcW w:w="2269" w:type="pct"/>
            <w:tcBorders>
              <w:top w:val="single" w:sz="4" w:space="0" w:color="auto"/>
              <w:left w:val="single" w:sz="4" w:space="0" w:color="auto"/>
              <w:bottom w:val="single" w:sz="4" w:space="0" w:color="auto"/>
            </w:tcBorders>
          </w:tcPr>
          <w:p w14:paraId="31F790CF" w14:textId="77777777" w:rsidR="00915114" w:rsidRPr="00916B56" w:rsidRDefault="00915114" w:rsidP="00915114">
            <w:pPr>
              <w:kinsoku w:val="0"/>
              <w:overflowPunct w:val="0"/>
              <w:autoSpaceDE w:val="0"/>
              <w:autoSpaceDN w:val="0"/>
              <w:adjustRightInd w:val="0"/>
              <w:snapToGrid w:val="0"/>
              <w:jc w:val="center"/>
              <w:rPr>
                <w:rFonts w:ascii="Times New Roman" w:hAnsi="Times New Roman"/>
                <w:sz w:val="21"/>
                <w:szCs w:val="21"/>
              </w:rPr>
            </w:pPr>
            <w:r w:rsidRPr="00916B56">
              <w:rPr>
                <w:rFonts w:ascii="Times New Roman" w:hAnsi="Times New Roman"/>
                <w:sz w:val="21"/>
                <w:szCs w:val="21"/>
              </w:rPr>
              <w:t xml:space="preserve">Representative for Securities Affairs </w:t>
            </w:r>
          </w:p>
        </w:tc>
      </w:tr>
      <w:tr w:rsidR="00FD0F1A" w:rsidRPr="00916B56" w14:paraId="4D1F1AAC" w14:textId="77777777" w:rsidTr="00A04AB2">
        <w:tc>
          <w:tcPr>
            <w:tcW w:w="595" w:type="pct"/>
            <w:tcBorders>
              <w:top w:val="single" w:sz="4" w:space="0" w:color="auto"/>
              <w:bottom w:val="single" w:sz="4" w:space="0" w:color="auto"/>
              <w:right w:val="single" w:sz="4" w:space="0" w:color="auto"/>
            </w:tcBorders>
          </w:tcPr>
          <w:p w14:paraId="6D978680" w14:textId="77777777"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Name</w:t>
            </w:r>
          </w:p>
        </w:tc>
        <w:tc>
          <w:tcPr>
            <w:tcW w:w="2135" w:type="pct"/>
            <w:tcBorders>
              <w:top w:val="single" w:sz="4" w:space="0" w:color="auto"/>
              <w:left w:val="single" w:sz="4" w:space="0" w:color="auto"/>
              <w:bottom w:val="single" w:sz="4" w:space="0" w:color="auto"/>
              <w:right w:val="single" w:sz="4" w:space="0" w:color="auto"/>
            </w:tcBorders>
          </w:tcPr>
          <w:p w14:paraId="690FD595" w14:textId="77777777" w:rsidR="00915114" w:rsidRPr="00916B56" w:rsidRDefault="005E30C9"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Zhang Xiaoquan</w:t>
            </w:r>
          </w:p>
        </w:tc>
        <w:tc>
          <w:tcPr>
            <w:tcW w:w="2269" w:type="pct"/>
            <w:tcBorders>
              <w:top w:val="single" w:sz="4" w:space="0" w:color="auto"/>
              <w:left w:val="single" w:sz="4" w:space="0" w:color="auto"/>
              <w:bottom w:val="single" w:sz="4" w:space="0" w:color="auto"/>
            </w:tcBorders>
          </w:tcPr>
          <w:p w14:paraId="1F81AEE4" w14:textId="77777777" w:rsidR="00915114" w:rsidRPr="00916B56" w:rsidRDefault="005E30C9"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Zhou Wensen</w:t>
            </w:r>
          </w:p>
        </w:tc>
      </w:tr>
      <w:tr w:rsidR="00FD0F1A" w:rsidRPr="00916B56" w14:paraId="4C06C6BE" w14:textId="77777777" w:rsidTr="00A04AB2">
        <w:tc>
          <w:tcPr>
            <w:tcW w:w="595" w:type="pct"/>
            <w:tcBorders>
              <w:top w:val="single" w:sz="4" w:space="0" w:color="auto"/>
              <w:bottom w:val="single" w:sz="4" w:space="0" w:color="auto"/>
              <w:right w:val="single" w:sz="4" w:space="0" w:color="auto"/>
            </w:tcBorders>
          </w:tcPr>
          <w:p w14:paraId="3D4F1B04" w14:textId="77777777"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Address</w:t>
            </w:r>
          </w:p>
        </w:tc>
        <w:tc>
          <w:tcPr>
            <w:tcW w:w="2135" w:type="pct"/>
            <w:tcBorders>
              <w:top w:val="single" w:sz="4" w:space="0" w:color="auto"/>
              <w:left w:val="single" w:sz="4" w:space="0" w:color="auto"/>
              <w:bottom w:val="single" w:sz="4" w:space="0" w:color="auto"/>
              <w:right w:val="single" w:sz="4" w:space="0" w:color="auto"/>
            </w:tcBorders>
          </w:tcPr>
          <w:p w14:paraId="1ECC3CD3" w14:textId="4E2457C1"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No. 116</w:t>
            </w:r>
            <w:r w:rsidR="00DC170F">
              <w:rPr>
                <w:rFonts w:ascii="Times New Roman" w:hAnsi="Times New Roman"/>
                <w:sz w:val="21"/>
                <w:szCs w:val="21"/>
              </w:rPr>
              <w:t>-117</w:t>
            </w:r>
            <w:r w:rsidRPr="00916B56">
              <w:rPr>
                <w:rFonts w:ascii="Times New Roman" w:hAnsi="Times New Roman"/>
                <w:sz w:val="21"/>
                <w:szCs w:val="21"/>
              </w:rPr>
              <w:t>, Lane 456, Dieqiao Road, Pudong New Area, Shanghai</w:t>
            </w:r>
          </w:p>
        </w:tc>
        <w:tc>
          <w:tcPr>
            <w:tcW w:w="2269" w:type="pct"/>
            <w:tcBorders>
              <w:top w:val="single" w:sz="4" w:space="0" w:color="auto"/>
              <w:left w:val="single" w:sz="4" w:space="0" w:color="auto"/>
              <w:bottom w:val="single" w:sz="4" w:space="0" w:color="auto"/>
            </w:tcBorders>
          </w:tcPr>
          <w:p w14:paraId="1C46325C" w14:textId="2876A0A2"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No. 116</w:t>
            </w:r>
            <w:r w:rsidR="00DC170F">
              <w:rPr>
                <w:rFonts w:ascii="Times New Roman" w:hAnsi="Times New Roman"/>
                <w:sz w:val="21"/>
                <w:szCs w:val="21"/>
              </w:rPr>
              <w:t>-117</w:t>
            </w:r>
            <w:r w:rsidRPr="00916B56">
              <w:rPr>
                <w:rFonts w:ascii="Times New Roman" w:hAnsi="Times New Roman"/>
                <w:sz w:val="21"/>
                <w:szCs w:val="21"/>
              </w:rPr>
              <w:t>, Lane 456, Dieqiao Road, Pudong New Area, Shanghai</w:t>
            </w:r>
          </w:p>
        </w:tc>
      </w:tr>
      <w:tr w:rsidR="00FD0F1A" w:rsidRPr="00916B56" w14:paraId="3FAEA64B" w14:textId="77777777" w:rsidTr="00A04AB2">
        <w:tc>
          <w:tcPr>
            <w:tcW w:w="595" w:type="pct"/>
            <w:tcBorders>
              <w:top w:val="single" w:sz="4" w:space="0" w:color="auto"/>
              <w:bottom w:val="single" w:sz="4" w:space="0" w:color="auto"/>
              <w:right w:val="single" w:sz="4" w:space="0" w:color="auto"/>
            </w:tcBorders>
          </w:tcPr>
          <w:p w14:paraId="3B034043" w14:textId="77777777"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Tel.</w:t>
            </w:r>
          </w:p>
        </w:tc>
        <w:tc>
          <w:tcPr>
            <w:tcW w:w="2135" w:type="pct"/>
            <w:tcBorders>
              <w:top w:val="single" w:sz="4" w:space="0" w:color="auto"/>
              <w:left w:val="single" w:sz="4" w:space="0" w:color="auto"/>
              <w:bottom w:val="single" w:sz="4" w:space="0" w:color="auto"/>
              <w:right w:val="single" w:sz="4" w:space="0" w:color="auto"/>
            </w:tcBorders>
          </w:tcPr>
          <w:p w14:paraId="06C530FF" w14:textId="77777777"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(021) 61902930</w:t>
            </w:r>
          </w:p>
        </w:tc>
        <w:tc>
          <w:tcPr>
            <w:tcW w:w="2269" w:type="pct"/>
            <w:tcBorders>
              <w:top w:val="single" w:sz="4" w:space="0" w:color="auto"/>
              <w:left w:val="single" w:sz="4" w:space="0" w:color="auto"/>
              <w:bottom w:val="single" w:sz="4" w:space="0" w:color="auto"/>
            </w:tcBorders>
          </w:tcPr>
          <w:p w14:paraId="55F55444" w14:textId="77777777"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(021) 61902930</w:t>
            </w:r>
          </w:p>
        </w:tc>
      </w:tr>
      <w:tr w:rsidR="00FD0F1A" w:rsidRPr="00916B56" w14:paraId="2D3B4B27" w14:textId="77777777" w:rsidTr="00A04AB2">
        <w:tc>
          <w:tcPr>
            <w:tcW w:w="595" w:type="pct"/>
            <w:tcBorders>
              <w:top w:val="single" w:sz="4" w:space="0" w:color="auto"/>
              <w:bottom w:val="single" w:sz="4" w:space="0" w:color="auto"/>
              <w:right w:val="single" w:sz="4" w:space="0" w:color="auto"/>
            </w:tcBorders>
          </w:tcPr>
          <w:p w14:paraId="2A2E732C" w14:textId="77777777"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Fax</w:t>
            </w:r>
          </w:p>
        </w:tc>
        <w:tc>
          <w:tcPr>
            <w:tcW w:w="2135" w:type="pct"/>
            <w:tcBorders>
              <w:top w:val="single" w:sz="4" w:space="0" w:color="auto"/>
              <w:left w:val="single" w:sz="4" w:space="0" w:color="auto"/>
              <w:bottom w:val="single" w:sz="4" w:space="0" w:color="auto"/>
              <w:right w:val="single" w:sz="4" w:space="0" w:color="auto"/>
            </w:tcBorders>
          </w:tcPr>
          <w:p w14:paraId="5305365A" w14:textId="77777777"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(021) 61902908</w:t>
            </w:r>
          </w:p>
        </w:tc>
        <w:tc>
          <w:tcPr>
            <w:tcW w:w="2269" w:type="pct"/>
            <w:tcBorders>
              <w:top w:val="single" w:sz="4" w:space="0" w:color="auto"/>
              <w:left w:val="single" w:sz="4" w:space="0" w:color="auto"/>
              <w:bottom w:val="single" w:sz="4" w:space="0" w:color="auto"/>
            </w:tcBorders>
          </w:tcPr>
          <w:p w14:paraId="0A02EC98" w14:textId="77777777"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(021) 61902908</w:t>
            </w:r>
          </w:p>
        </w:tc>
      </w:tr>
      <w:tr w:rsidR="00915114" w:rsidRPr="00916B56" w14:paraId="51733FD4" w14:textId="77777777" w:rsidTr="00A04AB2">
        <w:tc>
          <w:tcPr>
            <w:tcW w:w="595" w:type="pct"/>
            <w:tcBorders>
              <w:top w:val="single" w:sz="4" w:space="0" w:color="auto"/>
              <w:bottom w:val="single" w:sz="4" w:space="0" w:color="auto"/>
              <w:right w:val="single" w:sz="4" w:space="0" w:color="auto"/>
            </w:tcBorders>
          </w:tcPr>
          <w:p w14:paraId="56BED907" w14:textId="77777777"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E-mail</w:t>
            </w:r>
          </w:p>
        </w:tc>
        <w:tc>
          <w:tcPr>
            <w:tcW w:w="2135" w:type="pct"/>
            <w:tcBorders>
              <w:top w:val="single" w:sz="4" w:space="0" w:color="auto"/>
              <w:left w:val="single" w:sz="4" w:space="0" w:color="auto"/>
              <w:bottom w:val="single" w:sz="4" w:space="0" w:color="auto"/>
              <w:right w:val="single" w:sz="4" w:space="0" w:color="auto"/>
            </w:tcBorders>
          </w:tcPr>
          <w:p w14:paraId="7298D4C8" w14:textId="77777777"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IR@putailai.com</w:t>
            </w:r>
          </w:p>
        </w:tc>
        <w:tc>
          <w:tcPr>
            <w:tcW w:w="2269" w:type="pct"/>
            <w:tcBorders>
              <w:top w:val="single" w:sz="4" w:space="0" w:color="auto"/>
              <w:left w:val="single" w:sz="4" w:space="0" w:color="auto"/>
              <w:bottom w:val="single" w:sz="4" w:space="0" w:color="auto"/>
            </w:tcBorders>
          </w:tcPr>
          <w:p w14:paraId="6C27E46E" w14:textId="77777777" w:rsidR="00915114" w:rsidRPr="00916B56" w:rsidRDefault="00915114" w:rsidP="0091511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IR@putailai.com</w:t>
            </w:r>
          </w:p>
        </w:tc>
      </w:tr>
    </w:tbl>
    <w:p w14:paraId="67C49DA8" w14:textId="7F5ED39D" w:rsidR="00915114" w:rsidRPr="00916B56" w:rsidRDefault="00915114" w:rsidP="00792EB2">
      <w:pPr>
        <w:spacing w:line="360" w:lineRule="auto"/>
        <w:rPr>
          <w:rFonts w:ascii="Times New Roman" w:hAnsi="Times New Roman" w:cs="Times New Roman"/>
          <w:szCs w:val="21"/>
          <w:lang w:val="en"/>
        </w:rPr>
      </w:pPr>
    </w:p>
    <w:p w14:paraId="7CE115B6" w14:textId="558CA7BB" w:rsidR="00915114" w:rsidRPr="00916B56" w:rsidRDefault="00915114" w:rsidP="00915114">
      <w:pPr>
        <w:keepNext/>
        <w:keepLines/>
        <w:numPr>
          <w:ilvl w:val="1"/>
          <w:numId w:val="1"/>
        </w:numPr>
        <w:spacing w:before="60" w:after="60"/>
        <w:ind w:left="498" w:hangingChars="236" w:hanging="498"/>
        <w:outlineLvl w:val="1"/>
        <w:rPr>
          <w:rFonts w:ascii="Times New Roman" w:eastAsia="宋体" w:hAnsi="Times New Roman" w:cs="Times New Roman"/>
          <w:b/>
          <w:bCs/>
          <w:szCs w:val="21"/>
          <w:lang w:val="en"/>
        </w:rPr>
      </w:pPr>
      <w:bookmarkStart w:id="2" w:name="_Toc342056397"/>
      <w:bookmarkStart w:id="3" w:name="_Toc342565889"/>
      <w:r w:rsidRPr="00916B56">
        <w:rPr>
          <w:rFonts w:ascii="Times New Roman" w:eastAsia="宋体" w:hAnsi="Times New Roman" w:cs="Times New Roman"/>
          <w:b/>
          <w:bCs/>
          <w:szCs w:val="21"/>
          <w:lang w:val="en"/>
        </w:rPr>
        <w:t>Key Accounti</w:t>
      </w:r>
      <w:r w:rsidR="0075599E" w:rsidRPr="00916B56">
        <w:rPr>
          <w:rFonts w:ascii="Times New Roman" w:eastAsia="宋体" w:hAnsi="Times New Roman" w:cs="Times New Roman"/>
          <w:b/>
          <w:bCs/>
          <w:szCs w:val="21"/>
          <w:lang w:val="en"/>
        </w:rPr>
        <w:t xml:space="preserve">ng Data and Financial Indicators </w:t>
      </w:r>
      <w:r w:rsidR="009C372A" w:rsidRPr="00916B56">
        <w:rPr>
          <w:rFonts w:ascii="Times New Roman" w:eastAsia="宋体" w:hAnsi="Times New Roman" w:cs="Times New Roman" w:hint="eastAsia"/>
          <w:b/>
          <w:bCs/>
          <w:szCs w:val="21"/>
          <w:lang w:val="en"/>
        </w:rPr>
        <w:t xml:space="preserve">for </w:t>
      </w:r>
      <w:r w:rsidRPr="00916B56">
        <w:rPr>
          <w:rFonts w:ascii="Times New Roman" w:eastAsia="宋体" w:hAnsi="Times New Roman" w:cs="Times New Roman"/>
          <w:b/>
          <w:bCs/>
          <w:szCs w:val="21"/>
          <w:lang w:val="en"/>
        </w:rPr>
        <w:t>the past three years</w:t>
      </w:r>
      <w:bookmarkEnd w:id="2"/>
      <w:bookmarkEnd w:id="3"/>
    </w:p>
    <w:p w14:paraId="620AE598" w14:textId="15C23716" w:rsidR="00915114" w:rsidRPr="00916B56" w:rsidRDefault="0075599E" w:rsidP="00915114">
      <w:pPr>
        <w:keepNext/>
        <w:keepLines/>
        <w:numPr>
          <w:ilvl w:val="1"/>
          <w:numId w:val="2"/>
        </w:numPr>
        <w:spacing w:before="60" w:after="60"/>
        <w:outlineLvl w:val="2"/>
        <w:rPr>
          <w:rFonts w:ascii="Times New Roman" w:eastAsia="宋体" w:hAnsi="Times New Roman" w:cs="Times New Roman"/>
          <w:b/>
          <w:bCs/>
          <w:kern w:val="0"/>
          <w:szCs w:val="21"/>
          <w:lang w:val="en"/>
        </w:rPr>
      </w:pPr>
      <w:r w:rsidRPr="00916B56">
        <w:rPr>
          <w:rFonts w:ascii="Times New Roman" w:eastAsia="宋体" w:hAnsi="Times New Roman" w:cs="Times New Roman"/>
          <w:b/>
          <w:bCs/>
          <w:kern w:val="0"/>
          <w:szCs w:val="21"/>
          <w:lang w:val="en"/>
        </w:rPr>
        <w:t>Key Accounting D</w:t>
      </w:r>
      <w:r w:rsidR="00915114" w:rsidRPr="00916B56">
        <w:rPr>
          <w:rFonts w:ascii="Times New Roman" w:eastAsia="宋体" w:hAnsi="Times New Roman" w:cs="Times New Roman"/>
          <w:b/>
          <w:bCs/>
          <w:kern w:val="0"/>
          <w:szCs w:val="21"/>
          <w:lang w:val="en"/>
        </w:rPr>
        <w:t>ata</w:t>
      </w:r>
    </w:p>
    <w:p w14:paraId="5716E96F" w14:textId="77777777" w:rsidR="00915114" w:rsidRPr="00916B56" w:rsidRDefault="00915114" w:rsidP="00915114">
      <w:pPr>
        <w:jc w:val="right"/>
        <w:rPr>
          <w:rFonts w:ascii="Times New Roman" w:hAnsi="Times New Roman" w:cs="Times New Roman"/>
          <w:szCs w:val="21"/>
          <w:lang w:val="en"/>
        </w:rPr>
      </w:pPr>
      <w:r w:rsidRPr="00916B56">
        <w:rPr>
          <w:rFonts w:ascii="Times New Roman" w:hAnsi="Times New Roman" w:cs="Times New Roman"/>
          <w:szCs w:val="21"/>
          <w:lang w:val="en"/>
        </w:rPr>
        <w:t>Unit: CNY</w:t>
      </w:r>
    </w:p>
    <w:tbl>
      <w:tblPr>
        <w:tblStyle w:val="1"/>
        <w:tblW w:w="5000" w:type="pct"/>
        <w:tblLayout w:type="fixed"/>
        <w:tblLook w:val="0000" w:firstRow="0" w:lastRow="0" w:firstColumn="0" w:lastColumn="0" w:noHBand="0" w:noVBand="0"/>
      </w:tblPr>
      <w:tblGrid>
        <w:gridCol w:w="2293"/>
        <w:gridCol w:w="2296"/>
        <w:gridCol w:w="2295"/>
        <w:gridCol w:w="1412"/>
      </w:tblGrid>
      <w:tr w:rsidR="0035583F" w:rsidRPr="00916B56" w14:paraId="4ECEEBE7" w14:textId="77777777" w:rsidTr="0035583F">
        <w:trPr>
          <w:trHeight w:val="529"/>
        </w:trPr>
        <w:tc>
          <w:tcPr>
            <w:tcW w:w="1382" w:type="pct"/>
            <w:vAlign w:val="center"/>
          </w:tcPr>
          <w:p w14:paraId="250632C6" w14:textId="77777777" w:rsidR="0035583F" w:rsidRPr="00916B56" w:rsidRDefault="0035583F" w:rsidP="00915114">
            <w:pPr>
              <w:kinsoku w:val="0"/>
              <w:overflowPunct w:val="0"/>
              <w:autoSpaceDE w:val="0"/>
              <w:autoSpaceDN w:val="0"/>
              <w:adjustRightInd w:val="0"/>
              <w:snapToGrid w:val="0"/>
              <w:rPr>
                <w:sz w:val="21"/>
                <w:szCs w:val="21"/>
              </w:rPr>
            </w:pPr>
            <w:r w:rsidRPr="00916B56">
              <w:rPr>
                <w:sz w:val="21"/>
                <w:szCs w:val="21"/>
              </w:rPr>
              <w:t>Key accounting data</w:t>
            </w:r>
          </w:p>
        </w:tc>
        <w:tc>
          <w:tcPr>
            <w:tcW w:w="1384" w:type="pct"/>
            <w:vAlign w:val="center"/>
          </w:tcPr>
          <w:p w14:paraId="79D69B89" w14:textId="5620DA17" w:rsidR="0035583F" w:rsidRPr="00916B56" w:rsidRDefault="00BE5F21" w:rsidP="00915114">
            <w:pPr>
              <w:kinsoku w:val="0"/>
              <w:overflowPunct w:val="0"/>
              <w:autoSpaceDE w:val="0"/>
              <w:autoSpaceDN w:val="0"/>
              <w:adjustRightInd w:val="0"/>
              <w:snapToGrid w:val="0"/>
              <w:jc w:val="center"/>
              <w:rPr>
                <w:sz w:val="21"/>
                <w:szCs w:val="21"/>
              </w:rPr>
            </w:pPr>
            <w:r>
              <w:rPr>
                <w:sz w:val="21"/>
                <w:szCs w:val="21"/>
              </w:rPr>
              <w:t>2026</w:t>
            </w:r>
            <w:r w:rsidR="0035583F">
              <w:rPr>
                <w:sz w:val="21"/>
                <w:szCs w:val="21"/>
              </w:rPr>
              <w:t xml:space="preserve"> H1</w:t>
            </w:r>
          </w:p>
        </w:tc>
        <w:tc>
          <w:tcPr>
            <w:tcW w:w="1383" w:type="pct"/>
            <w:vAlign w:val="center"/>
          </w:tcPr>
          <w:p w14:paraId="3919CD28" w14:textId="64069D87" w:rsidR="0035583F" w:rsidRPr="00916B56" w:rsidRDefault="00BE5F21" w:rsidP="00915114">
            <w:pPr>
              <w:kinsoku w:val="0"/>
              <w:overflowPunct w:val="0"/>
              <w:autoSpaceDE w:val="0"/>
              <w:autoSpaceDN w:val="0"/>
              <w:adjustRightInd w:val="0"/>
              <w:snapToGrid w:val="0"/>
              <w:jc w:val="center"/>
              <w:rPr>
                <w:sz w:val="21"/>
                <w:szCs w:val="21"/>
              </w:rPr>
            </w:pPr>
            <w:r>
              <w:rPr>
                <w:sz w:val="21"/>
                <w:szCs w:val="21"/>
              </w:rPr>
              <w:t>2025</w:t>
            </w:r>
            <w:r w:rsidR="0035583F">
              <w:rPr>
                <w:sz w:val="21"/>
                <w:szCs w:val="21"/>
              </w:rPr>
              <w:t xml:space="preserve"> H1</w:t>
            </w:r>
          </w:p>
        </w:tc>
        <w:tc>
          <w:tcPr>
            <w:tcW w:w="851" w:type="pct"/>
            <w:vAlign w:val="center"/>
          </w:tcPr>
          <w:p w14:paraId="75D985B9" w14:textId="77777777" w:rsidR="00DC170F" w:rsidRPr="00DC170F" w:rsidRDefault="00DC170F" w:rsidP="00DC170F">
            <w:pPr>
              <w:kinsoku w:val="0"/>
              <w:overflowPunct w:val="0"/>
              <w:autoSpaceDE w:val="0"/>
              <w:autoSpaceDN w:val="0"/>
              <w:adjustRightInd w:val="0"/>
              <w:snapToGrid w:val="0"/>
              <w:jc w:val="center"/>
              <w:rPr>
                <w:szCs w:val="21"/>
              </w:rPr>
            </w:pPr>
            <w:r w:rsidRPr="00DC170F">
              <w:rPr>
                <w:szCs w:val="21"/>
              </w:rPr>
              <w:t xml:space="preserve">Change  </w:t>
            </w:r>
          </w:p>
          <w:p w14:paraId="34EBFB6D" w14:textId="77777777" w:rsidR="00DC170F" w:rsidRPr="00DC170F" w:rsidRDefault="00DC170F" w:rsidP="00DC170F">
            <w:pPr>
              <w:kinsoku w:val="0"/>
              <w:overflowPunct w:val="0"/>
              <w:autoSpaceDE w:val="0"/>
              <w:autoSpaceDN w:val="0"/>
              <w:adjustRightInd w:val="0"/>
              <w:snapToGrid w:val="0"/>
              <w:jc w:val="center"/>
              <w:rPr>
                <w:szCs w:val="21"/>
              </w:rPr>
            </w:pPr>
            <w:r w:rsidRPr="00DC170F">
              <w:rPr>
                <w:szCs w:val="21"/>
              </w:rPr>
              <w:t xml:space="preserve">over the </w:t>
            </w:r>
          </w:p>
          <w:p w14:paraId="5C1949C1" w14:textId="77777777" w:rsidR="00DC170F" w:rsidRPr="00DC170F" w:rsidRDefault="00DC170F" w:rsidP="00DC170F">
            <w:pPr>
              <w:kinsoku w:val="0"/>
              <w:overflowPunct w:val="0"/>
              <w:autoSpaceDE w:val="0"/>
              <w:autoSpaceDN w:val="0"/>
              <w:adjustRightInd w:val="0"/>
              <w:snapToGrid w:val="0"/>
              <w:jc w:val="center"/>
              <w:rPr>
                <w:szCs w:val="21"/>
              </w:rPr>
            </w:pPr>
            <w:r w:rsidRPr="00DC170F">
              <w:rPr>
                <w:szCs w:val="21"/>
              </w:rPr>
              <w:t xml:space="preserve">corresponding </w:t>
            </w:r>
          </w:p>
          <w:p w14:paraId="512F640D" w14:textId="77777777" w:rsidR="00DC170F" w:rsidRPr="00DC170F" w:rsidRDefault="00DC170F" w:rsidP="00DC170F">
            <w:pPr>
              <w:kinsoku w:val="0"/>
              <w:overflowPunct w:val="0"/>
              <w:autoSpaceDE w:val="0"/>
              <w:autoSpaceDN w:val="0"/>
              <w:adjustRightInd w:val="0"/>
              <w:snapToGrid w:val="0"/>
              <w:jc w:val="center"/>
              <w:rPr>
                <w:szCs w:val="21"/>
              </w:rPr>
            </w:pPr>
            <w:r w:rsidRPr="00DC170F">
              <w:rPr>
                <w:szCs w:val="21"/>
              </w:rPr>
              <w:t xml:space="preserve">period last </w:t>
            </w:r>
          </w:p>
          <w:p w14:paraId="2DE05112" w14:textId="04850953" w:rsidR="0035583F" w:rsidRPr="00FB6A89" w:rsidRDefault="00DC170F" w:rsidP="00DC170F">
            <w:pPr>
              <w:kinsoku w:val="0"/>
              <w:overflowPunct w:val="0"/>
              <w:autoSpaceDE w:val="0"/>
              <w:autoSpaceDN w:val="0"/>
              <w:adjustRightInd w:val="0"/>
              <w:snapToGrid w:val="0"/>
              <w:jc w:val="center"/>
              <w:rPr>
                <w:szCs w:val="21"/>
              </w:rPr>
            </w:pPr>
            <w:r w:rsidRPr="00DC170F">
              <w:rPr>
                <w:szCs w:val="21"/>
              </w:rPr>
              <w:t>year (%)</w:t>
            </w:r>
          </w:p>
        </w:tc>
      </w:tr>
      <w:tr w:rsidR="0035583F" w:rsidRPr="00916B56" w14:paraId="67EC3C38" w14:textId="77777777" w:rsidTr="00D816DD">
        <w:trPr>
          <w:trHeight w:val="253"/>
        </w:trPr>
        <w:tc>
          <w:tcPr>
            <w:tcW w:w="1382" w:type="pct"/>
          </w:tcPr>
          <w:p w14:paraId="733CC9A4" w14:textId="7EC35F42" w:rsidR="0035583F" w:rsidRPr="00916B56" w:rsidRDefault="00DC170F" w:rsidP="0035583F">
            <w:pPr>
              <w:kinsoku w:val="0"/>
              <w:overflowPunct w:val="0"/>
              <w:autoSpaceDE w:val="0"/>
              <w:autoSpaceDN w:val="0"/>
              <w:adjustRightInd w:val="0"/>
              <w:snapToGrid w:val="0"/>
              <w:rPr>
                <w:sz w:val="21"/>
                <w:szCs w:val="21"/>
              </w:rPr>
            </w:pPr>
            <w:r>
              <w:rPr>
                <w:sz w:val="21"/>
                <w:szCs w:val="21"/>
              </w:rPr>
              <w:t>R</w:t>
            </w:r>
            <w:r w:rsidR="0035583F" w:rsidRPr="00916B56">
              <w:rPr>
                <w:sz w:val="21"/>
                <w:szCs w:val="21"/>
              </w:rPr>
              <w:t>evenue</w:t>
            </w:r>
          </w:p>
        </w:tc>
        <w:tc>
          <w:tcPr>
            <w:tcW w:w="1384" w:type="pct"/>
            <w:vAlign w:val="center"/>
          </w:tcPr>
          <w:p w14:paraId="7E1098C7" w14:textId="54351D9C" w:rsidR="0035583F" w:rsidRPr="00916B56" w:rsidRDefault="0035583F" w:rsidP="0035583F">
            <w:pPr>
              <w:jc w:val="right"/>
              <w:rPr>
                <w:sz w:val="21"/>
                <w:szCs w:val="21"/>
              </w:rPr>
            </w:pPr>
            <w:r>
              <w:t>10,114,704,705.86</w:t>
            </w:r>
          </w:p>
        </w:tc>
        <w:tc>
          <w:tcPr>
            <w:tcW w:w="1383" w:type="pct"/>
            <w:vAlign w:val="center"/>
          </w:tcPr>
          <w:p w14:paraId="5DC20267" w14:textId="4DD757B6" w:rsidR="0035583F" w:rsidRPr="00916B56" w:rsidRDefault="0035583F" w:rsidP="0035583F">
            <w:pPr>
              <w:jc w:val="right"/>
              <w:rPr>
                <w:sz w:val="21"/>
                <w:szCs w:val="21"/>
              </w:rPr>
            </w:pPr>
            <w:r>
              <w:t>7,087,860,729.92</w:t>
            </w:r>
          </w:p>
        </w:tc>
        <w:tc>
          <w:tcPr>
            <w:tcW w:w="851" w:type="pct"/>
            <w:vAlign w:val="center"/>
          </w:tcPr>
          <w:p w14:paraId="76E309D9" w14:textId="40ADE0AC" w:rsidR="0035583F" w:rsidRPr="00916B56" w:rsidRDefault="0035583F" w:rsidP="0035583F">
            <w:pPr>
              <w:jc w:val="right"/>
              <w:rPr>
                <w:sz w:val="21"/>
                <w:szCs w:val="21"/>
              </w:rPr>
            </w:pPr>
            <w:r>
              <w:t>42.70</w:t>
            </w:r>
          </w:p>
        </w:tc>
      </w:tr>
      <w:tr w:rsidR="0035583F" w:rsidRPr="00916B56" w14:paraId="029EA282" w14:textId="77777777" w:rsidTr="0035583F">
        <w:trPr>
          <w:trHeight w:val="253"/>
        </w:trPr>
        <w:tc>
          <w:tcPr>
            <w:tcW w:w="1382" w:type="pct"/>
          </w:tcPr>
          <w:p w14:paraId="6CCF2D8C" w14:textId="282A6A54" w:rsidR="0035583F" w:rsidRPr="00916B56" w:rsidRDefault="0035583F" w:rsidP="0035583F">
            <w:pPr>
              <w:kinsoku w:val="0"/>
              <w:wordWrap w:val="0"/>
              <w:overflowPunct w:val="0"/>
              <w:autoSpaceDE w:val="0"/>
              <w:autoSpaceDN w:val="0"/>
              <w:adjustRightInd w:val="0"/>
              <w:snapToGrid w:val="0"/>
              <w:rPr>
                <w:sz w:val="21"/>
                <w:szCs w:val="21"/>
              </w:rPr>
            </w:pPr>
            <w:bookmarkStart w:id="4" w:name="_Hlk199242464"/>
            <w:r w:rsidRPr="00916B56">
              <w:rPr>
                <w:sz w:val="21"/>
                <w:szCs w:val="21"/>
              </w:rPr>
              <w:t>Net profits attributable to shareholders of the listed company</w:t>
            </w:r>
          </w:p>
        </w:tc>
        <w:tc>
          <w:tcPr>
            <w:tcW w:w="1384" w:type="pct"/>
            <w:vAlign w:val="center"/>
          </w:tcPr>
          <w:p w14:paraId="631341B4" w14:textId="5FF9D9DD" w:rsidR="0035583F" w:rsidRPr="00916B56" w:rsidRDefault="0035583F" w:rsidP="0035583F">
            <w:pPr>
              <w:kinsoku w:val="0"/>
              <w:overflowPunct w:val="0"/>
              <w:autoSpaceDE w:val="0"/>
              <w:autoSpaceDN w:val="0"/>
              <w:adjustRightInd w:val="0"/>
              <w:snapToGrid w:val="0"/>
              <w:jc w:val="right"/>
              <w:rPr>
                <w:sz w:val="21"/>
                <w:szCs w:val="21"/>
              </w:rPr>
            </w:pPr>
            <w:r>
              <w:t>1,451,879,417.30</w:t>
            </w:r>
          </w:p>
        </w:tc>
        <w:tc>
          <w:tcPr>
            <w:tcW w:w="1383" w:type="pct"/>
            <w:vAlign w:val="center"/>
          </w:tcPr>
          <w:p w14:paraId="74CC7B51" w14:textId="083F5068" w:rsidR="0035583F" w:rsidRPr="00916B56" w:rsidRDefault="0035583F" w:rsidP="0035583F">
            <w:pPr>
              <w:kinsoku w:val="0"/>
              <w:overflowPunct w:val="0"/>
              <w:autoSpaceDE w:val="0"/>
              <w:autoSpaceDN w:val="0"/>
              <w:adjustRightInd w:val="0"/>
              <w:snapToGrid w:val="0"/>
              <w:jc w:val="right"/>
              <w:rPr>
                <w:bCs/>
                <w:sz w:val="21"/>
                <w:szCs w:val="21"/>
              </w:rPr>
            </w:pPr>
            <w:r>
              <w:t>1,055,331,469.87</w:t>
            </w:r>
          </w:p>
        </w:tc>
        <w:tc>
          <w:tcPr>
            <w:tcW w:w="851" w:type="pct"/>
            <w:vAlign w:val="center"/>
          </w:tcPr>
          <w:p w14:paraId="63A3C5F7" w14:textId="06F3C21C" w:rsidR="0035583F" w:rsidRPr="00916B56" w:rsidRDefault="0035583F" w:rsidP="0035583F">
            <w:pPr>
              <w:kinsoku w:val="0"/>
              <w:overflowPunct w:val="0"/>
              <w:autoSpaceDE w:val="0"/>
              <w:autoSpaceDN w:val="0"/>
              <w:adjustRightInd w:val="0"/>
              <w:snapToGrid w:val="0"/>
              <w:jc w:val="right"/>
              <w:rPr>
                <w:sz w:val="21"/>
                <w:szCs w:val="21"/>
              </w:rPr>
            </w:pPr>
            <w:r>
              <w:t>37.58</w:t>
            </w:r>
          </w:p>
        </w:tc>
      </w:tr>
      <w:tr w:rsidR="0035583F" w:rsidRPr="00916B56" w14:paraId="0012E7F2" w14:textId="77777777" w:rsidTr="0035583F">
        <w:trPr>
          <w:trHeight w:val="253"/>
        </w:trPr>
        <w:tc>
          <w:tcPr>
            <w:tcW w:w="1382" w:type="pct"/>
          </w:tcPr>
          <w:p w14:paraId="1ACD0243" w14:textId="77777777" w:rsidR="0035583F" w:rsidRPr="00916B56" w:rsidRDefault="0035583F" w:rsidP="0035583F">
            <w:pPr>
              <w:kinsoku w:val="0"/>
              <w:wordWrap w:val="0"/>
              <w:overflowPunct w:val="0"/>
              <w:autoSpaceDE w:val="0"/>
              <w:autoSpaceDN w:val="0"/>
              <w:adjustRightInd w:val="0"/>
              <w:snapToGrid w:val="0"/>
              <w:rPr>
                <w:sz w:val="21"/>
                <w:szCs w:val="21"/>
              </w:rPr>
            </w:pPr>
            <w:r w:rsidRPr="00916B56">
              <w:rPr>
                <w:sz w:val="21"/>
                <w:szCs w:val="21"/>
              </w:rPr>
              <w:t>Net profits attributable to shareholders of the listed company after deduction of non-recurring gains and losses</w:t>
            </w:r>
          </w:p>
        </w:tc>
        <w:tc>
          <w:tcPr>
            <w:tcW w:w="1384" w:type="pct"/>
            <w:vAlign w:val="center"/>
          </w:tcPr>
          <w:p w14:paraId="45DC7E30" w14:textId="11ED08A4" w:rsidR="0035583F" w:rsidRPr="00916B56" w:rsidRDefault="0035583F" w:rsidP="0035583F">
            <w:pPr>
              <w:kinsoku w:val="0"/>
              <w:overflowPunct w:val="0"/>
              <w:autoSpaceDE w:val="0"/>
              <w:autoSpaceDN w:val="0"/>
              <w:adjustRightInd w:val="0"/>
              <w:snapToGrid w:val="0"/>
              <w:jc w:val="right"/>
              <w:rPr>
                <w:sz w:val="21"/>
                <w:szCs w:val="21"/>
              </w:rPr>
            </w:pPr>
            <w:r>
              <w:t>1,312,020,757.92</w:t>
            </w:r>
          </w:p>
        </w:tc>
        <w:tc>
          <w:tcPr>
            <w:tcW w:w="1383" w:type="pct"/>
            <w:vAlign w:val="center"/>
          </w:tcPr>
          <w:p w14:paraId="36E1CA9C" w14:textId="08A5CF17" w:rsidR="0035583F" w:rsidRPr="00916B56" w:rsidRDefault="0035583F" w:rsidP="0035583F">
            <w:pPr>
              <w:kinsoku w:val="0"/>
              <w:overflowPunct w:val="0"/>
              <w:autoSpaceDE w:val="0"/>
              <w:autoSpaceDN w:val="0"/>
              <w:adjustRightInd w:val="0"/>
              <w:snapToGrid w:val="0"/>
              <w:jc w:val="right"/>
              <w:rPr>
                <w:bCs/>
                <w:sz w:val="21"/>
                <w:szCs w:val="21"/>
              </w:rPr>
            </w:pPr>
            <w:r>
              <w:t>992,110,848.63</w:t>
            </w:r>
          </w:p>
        </w:tc>
        <w:tc>
          <w:tcPr>
            <w:tcW w:w="851" w:type="pct"/>
            <w:vAlign w:val="center"/>
          </w:tcPr>
          <w:p w14:paraId="0F268DFA" w14:textId="1DBB9FC5" w:rsidR="0035583F" w:rsidRPr="00916B56" w:rsidRDefault="0035583F" w:rsidP="0035583F">
            <w:pPr>
              <w:kinsoku w:val="0"/>
              <w:overflowPunct w:val="0"/>
              <w:autoSpaceDE w:val="0"/>
              <w:autoSpaceDN w:val="0"/>
              <w:adjustRightInd w:val="0"/>
              <w:snapToGrid w:val="0"/>
              <w:jc w:val="right"/>
              <w:rPr>
                <w:sz w:val="21"/>
                <w:szCs w:val="21"/>
              </w:rPr>
            </w:pPr>
            <w:r>
              <w:t>32.25</w:t>
            </w:r>
          </w:p>
        </w:tc>
      </w:tr>
      <w:tr w:rsidR="0035583F" w:rsidRPr="00916B56" w14:paraId="3513EB37" w14:textId="77777777" w:rsidTr="0035583F">
        <w:trPr>
          <w:trHeight w:val="253"/>
        </w:trPr>
        <w:tc>
          <w:tcPr>
            <w:tcW w:w="1382" w:type="pct"/>
          </w:tcPr>
          <w:p w14:paraId="7058DAD2" w14:textId="77777777" w:rsidR="0035583F" w:rsidRPr="00916B56" w:rsidRDefault="0035583F" w:rsidP="0035583F">
            <w:pPr>
              <w:kinsoku w:val="0"/>
              <w:overflowPunct w:val="0"/>
              <w:autoSpaceDE w:val="0"/>
              <w:autoSpaceDN w:val="0"/>
              <w:adjustRightInd w:val="0"/>
              <w:snapToGrid w:val="0"/>
              <w:rPr>
                <w:sz w:val="21"/>
                <w:szCs w:val="21"/>
                <w:highlight w:val="magenta"/>
              </w:rPr>
            </w:pPr>
            <w:r w:rsidRPr="00916B56">
              <w:rPr>
                <w:sz w:val="21"/>
                <w:szCs w:val="21"/>
              </w:rPr>
              <w:t>Net cash flows from operating activities</w:t>
            </w:r>
          </w:p>
        </w:tc>
        <w:tc>
          <w:tcPr>
            <w:tcW w:w="1384" w:type="pct"/>
            <w:vAlign w:val="center"/>
          </w:tcPr>
          <w:p w14:paraId="1BCF9511" w14:textId="7CBE1BB3" w:rsidR="0035583F" w:rsidRPr="00916B56" w:rsidRDefault="0035583F" w:rsidP="0035583F">
            <w:pPr>
              <w:kinsoku w:val="0"/>
              <w:overflowPunct w:val="0"/>
              <w:autoSpaceDE w:val="0"/>
              <w:autoSpaceDN w:val="0"/>
              <w:adjustRightInd w:val="0"/>
              <w:snapToGrid w:val="0"/>
              <w:jc w:val="right"/>
              <w:rPr>
                <w:sz w:val="21"/>
                <w:szCs w:val="21"/>
              </w:rPr>
            </w:pPr>
            <w:r>
              <w:t>1,798,537,897.57</w:t>
            </w:r>
          </w:p>
        </w:tc>
        <w:tc>
          <w:tcPr>
            <w:tcW w:w="1383" w:type="pct"/>
            <w:vAlign w:val="center"/>
          </w:tcPr>
          <w:p w14:paraId="05966826" w14:textId="51AFC794" w:rsidR="0035583F" w:rsidRPr="00916B56" w:rsidRDefault="0035583F" w:rsidP="0035583F">
            <w:pPr>
              <w:kinsoku w:val="0"/>
              <w:overflowPunct w:val="0"/>
              <w:autoSpaceDE w:val="0"/>
              <w:autoSpaceDN w:val="0"/>
              <w:adjustRightInd w:val="0"/>
              <w:snapToGrid w:val="0"/>
              <w:jc w:val="right"/>
              <w:rPr>
                <w:sz w:val="21"/>
                <w:szCs w:val="21"/>
              </w:rPr>
            </w:pPr>
            <w:r>
              <w:t>1,223,116,085.18</w:t>
            </w:r>
          </w:p>
        </w:tc>
        <w:tc>
          <w:tcPr>
            <w:tcW w:w="851" w:type="pct"/>
            <w:vAlign w:val="center"/>
          </w:tcPr>
          <w:p w14:paraId="76262B67" w14:textId="3DB02B19" w:rsidR="0035583F" w:rsidRPr="00916B56" w:rsidRDefault="0035583F" w:rsidP="0035583F">
            <w:pPr>
              <w:kinsoku w:val="0"/>
              <w:overflowPunct w:val="0"/>
              <w:autoSpaceDE w:val="0"/>
              <w:autoSpaceDN w:val="0"/>
              <w:adjustRightInd w:val="0"/>
              <w:snapToGrid w:val="0"/>
              <w:jc w:val="right"/>
              <w:rPr>
                <w:sz w:val="21"/>
                <w:szCs w:val="21"/>
              </w:rPr>
            </w:pPr>
            <w:r>
              <w:t>47.05</w:t>
            </w:r>
          </w:p>
        </w:tc>
      </w:tr>
      <w:bookmarkEnd w:id="4"/>
      <w:tr w:rsidR="0035583F" w:rsidRPr="00916B56" w14:paraId="024C4DEB" w14:textId="77777777" w:rsidTr="0035583F">
        <w:trPr>
          <w:trHeight w:val="473"/>
        </w:trPr>
        <w:tc>
          <w:tcPr>
            <w:tcW w:w="1382" w:type="pct"/>
          </w:tcPr>
          <w:p w14:paraId="583368CF" w14:textId="77777777" w:rsidR="0035583F" w:rsidRPr="00916B56" w:rsidRDefault="0035583F" w:rsidP="00B5705B">
            <w:pPr>
              <w:kinsoku w:val="0"/>
              <w:overflowPunct w:val="0"/>
              <w:autoSpaceDE w:val="0"/>
              <w:autoSpaceDN w:val="0"/>
              <w:adjustRightInd w:val="0"/>
              <w:snapToGrid w:val="0"/>
              <w:rPr>
                <w:sz w:val="21"/>
                <w:szCs w:val="21"/>
              </w:rPr>
            </w:pPr>
          </w:p>
        </w:tc>
        <w:tc>
          <w:tcPr>
            <w:tcW w:w="1384" w:type="pct"/>
            <w:vAlign w:val="center"/>
          </w:tcPr>
          <w:p w14:paraId="4748A025" w14:textId="5E94FA1F" w:rsidR="0035583F" w:rsidRPr="00916B56" w:rsidRDefault="0035583F" w:rsidP="00B5705B">
            <w:pPr>
              <w:kinsoku w:val="0"/>
              <w:overflowPunct w:val="0"/>
              <w:autoSpaceDE w:val="0"/>
              <w:autoSpaceDN w:val="0"/>
              <w:adjustRightInd w:val="0"/>
              <w:snapToGrid w:val="0"/>
              <w:jc w:val="center"/>
              <w:rPr>
                <w:sz w:val="21"/>
                <w:szCs w:val="21"/>
              </w:rPr>
            </w:pPr>
            <w:r>
              <w:rPr>
                <w:sz w:val="21"/>
                <w:szCs w:val="21"/>
              </w:rPr>
              <w:t>30 June 2026</w:t>
            </w:r>
          </w:p>
        </w:tc>
        <w:tc>
          <w:tcPr>
            <w:tcW w:w="1383" w:type="pct"/>
            <w:vAlign w:val="center"/>
          </w:tcPr>
          <w:p w14:paraId="48348834" w14:textId="33C00266" w:rsidR="0035583F" w:rsidRPr="00916B56" w:rsidRDefault="0035583F" w:rsidP="00B5705B">
            <w:pPr>
              <w:kinsoku w:val="0"/>
              <w:overflowPunct w:val="0"/>
              <w:autoSpaceDE w:val="0"/>
              <w:autoSpaceDN w:val="0"/>
              <w:adjustRightInd w:val="0"/>
              <w:snapToGrid w:val="0"/>
              <w:jc w:val="center"/>
              <w:rPr>
                <w:sz w:val="21"/>
                <w:szCs w:val="21"/>
              </w:rPr>
            </w:pPr>
            <w:r>
              <w:rPr>
                <w:sz w:val="21"/>
                <w:szCs w:val="21"/>
              </w:rPr>
              <w:t>31 December 2025</w:t>
            </w:r>
          </w:p>
        </w:tc>
        <w:tc>
          <w:tcPr>
            <w:tcW w:w="851" w:type="pct"/>
            <w:vAlign w:val="center"/>
          </w:tcPr>
          <w:p w14:paraId="4154DE20" w14:textId="77777777" w:rsidR="00DC170F" w:rsidRPr="00DC170F" w:rsidRDefault="00DC170F" w:rsidP="00DC170F">
            <w:pPr>
              <w:kinsoku w:val="0"/>
              <w:overflowPunct w:val="0"/>
              <w:autoSpaceDE w:val="0"/>
              <w:autoSpaceDN w:val="0"/>
              <w:adjustRightInd w:val="0"/>
              <w:snapToGrid w:val="0"/>
              <w:jc w:val="center"/>
              <w:rPr>
                <w:szCs w:val="21"/>
              </w:rPr>
            </w:pPr>
            <w:r w:rsidRPr="00DC170F">
              <w:rPr>
                <w:szCs w:val="21"/>
              </w:rPr>
              <w:t xml:space="preserve">Change  </w:t>
            </w:r>
          </w:p>
          <w:p w14:paraId="6FDA5AD2" w14:textId="77777777" w:rsidR="00DC170F" w:rsidRPr="00DC170F" w:rsidRDefault="00DC170F" w:rsidP="00DC170F">
            <w:pPr>
              <w:kinsoku w:val="0"/>
              <w:overflowPunct w:val="0"/>
              <w:autoSpaceDE w:val="0"/>
              <w:autoSpaceDN w:val="0"/>
              <w:adjustRightInd w:val="0"/>
              <w:snapToGrid w:val="0"/>
              <w:jc w:val="center"/>
              <w:rPr>
                <w:szCs w:val="21"/>
              </w:rPr>
            </w:pPr>
            <w:r w:rsidRPr="00DC170F">
              <w:rPr>
                <w:szCs w:val="21"/>
              </w:rPr>
              <w:t xml:space="preserve">over the </w:t>
            </w:r>
          </w:p>
          <w:p w14:paraId="26DB2B64" w14:textId="77777777" w:rsidR="00DC170F" w:rsidRPr="00DC170F" w:rsidRDefault="00DC170F" w:rsidP="00DC170F">
            <w:pPr>
              <w:kinsoku w:val="0"/>
              <w:overflowPunct w:val="0"/>
              <w:autoSpaceDE w:val="0"/>
              <w:autoSpaceDN w:val="0"/>
              <w:adjustRightInd w:val="0"/>
              <w:snapToGrid w:val="0"/>
              <w:jc w:val="center"/>
              <w:rPr>
                <w:szCs w:val="21"/>
              </w:rPr>
            </w:pPr>
            <w:r w:rsidRPr="00DC170F">
              <w:rPr>
                <w:szCs w:val="21"/>
              </w:rPr>
              <w:t xml:space="preserve">corresponding </w:t>
            </w:r>
          </w:p>
          <w:p w14:paraId="411C73F8" w14:textId="77777777" w:rsidR="00DC170F" w:rsidRPr="00DC170F" w:rsidRDefault="00DC170F" w:rsidP="00DC170F">
            <w:pPr>
              <w:kinsoku w:val="0"/>
              <w:overflowPunct w:val="0"/>
              <w:autoSpaceDE w:val="0"/>
              <w:autoSpaceDN w:val="0"/>
              <w:adjustRightInd w:val="0"/>
              <w:snapToGrid w:val="0"/>
              <w:jc w:val="center"/>
              <w:rPr>
                <w:szCs w:val="21"/>
              </w:rPr>
            </w:pPr>
            <w:r w:rsidRPr="00DC170F">
              <w:rPr>
                <w:szCs w:val="21"/>
              </w:rPr>
              <w:t xml:space="preserve">period last </w:t>
            </w:r>
          </w:p>
          <w:p w14:paraId="225A07C9" w14:textId="60E5B2F4" w:rsidR="0035583F" w:rsidRPr="00916B56" w:rsidRDefault="00DC170F" w:rsidP="00DC170F">
            <w:pPr>
              <w:kinsoku w:val="0"/>
              <w:overflowPunct w:val="0"/>
              <w:autoSpaceDE w:val="0"/>
              <w:autoSpaceDN w:val="0"/>
              <w:adjustRightInd w:val="0"/>
              <w:snapToGrid w:val="0"/>
              <w:jc w:val="center"/>
              <w:rPr>
                <w:sz w:val="21"/>
                <w:szCs w:val="21"/>
              </w:rPr>
            </w:pPr>
            <w:r w:rsidRPr="00DC170F">
              <w:rPr>
                <w:szCs w:val="21"/>
              </w:rPr>
              <w:t>year (%)</w:t>
            </w:r>
          </w:p>
        </w:tc>
      </w:tr>
      <w:tr w:rsidR="0035583F" w:rsidRPr="00916B56" w14:paraId="0A64C088" w14:textId="77777777" w:rsidTr="0035583F">
        <w:trPr>
          <w:trHeight w:val="253"/>
        </w:trPr>
        <w:tc>
          <w:tcPr>
            <w:tcW w:w="1382" w:type="pct"/>
          </w:tcPr>
          <w:p w14:paraId="4455E5F2" w14:textId="77777777" w:rsidR="0035583F" w:rsidRPr="00916B56" w:rsidRDefault="0035583F" w:rsidP="0035583F">
            <w:pPr>
              <w:kinsoku w:val="0"/>
              <w:wordWrap w:val="0"/>
              <w:overflowPunct w:val="0"/>
              <w:autoSpaceDE w:val="0"/>
              <w:autoSpaceDN w:val="0"/>
              <w:adjustRightInd w:val="0"/>
              <w:snapToGrid w:val="0"/>
              <w:rPr>
                <w:sz w:val="21"/>
                <w:szCs w:val="21"/>
              </w:rPr>
            </w:pPr>
            <w:r w:rsidRPr="00916B56">
              <w:rPr>
                <w:sz w:val="21"/>
                <w:szCs w:val="21"/>
              </w:rPr>
              <w:t>Net assets attributable to shareholders of  the listed company</w:t>
            </w:r>
          </w:p>
        </w:tc>
        <w:tc>
          <w:tcPr>
            <w:tcW w:w="1384" w:type="pct"/>
            <w:vAlign w:val="center"/>
          </w:tcPr>
          <w:p w14:paraId="2E6349E3" w14:textId="59A361DE" w:rsidR="0035583F" w:rsidRPr="00916B56" w:rsidRDefault="0035583F" w:rsidP="0035583F">
            <w:pPr>
              <w:kinsoku w:val="0"/>
              <w:overflowPunct w:val="0"/>
              <w:autoSpaceDE w:val="0"/>
              <w:autoSpaceDN w:val="0"/>
              <w:adjustRightInd w:val="0"/>
              <w:snapToGrid w:val="0"/>
              <w:jc w:val="right"/>
              <w:rPr>
                <w:sz w:val="21"/>
                <w:szCs w:val="21"/>
              </w:rPr>
            </w:pPr>
            <w:r>
              <w:t>21,403,971,337.65</w:t>
            </w:r>
          </w:p>
        </w:tc>
        <w:tc>
          <w:tcPr>
            <w:tcW w:w="1383" w:type="pct"/>
            <w:vAlign w:val="center"/>
          </w:tcPr>
          <w:p w14:paraId="32165332" w14:textId="36910A09" w:rsidR="0035583F" w:rsidRPr="00916B56" w:rsidRDefault="0035583F" w:rsidP="0035583F">
            <w:pPr>
              <w:kinsoku w:val="0"/>
              <w:overflowPunct w:val="0"/>
              <w:autoSpaceDE w:val="0"/>
              <w:autoSpaceDN w:val="0"/>
              <w:adjustRightInd w:val="0"/>
              <w:snapToGrid w:val="0"/>
              <w:jc w:val="right"/>
              <w:rPr>
                <w:bCs/>
                <w:sz w:val="21"/>
                <w:szCs w:val="21"/>
              </w:rPr>
            </w:pPr>
            <w:r>
              <w:t>20,433,598,297.71</w:t>
            </w:r>
          </w:p>
        </w:tc>
        <w:tc>
          <w:tcPr>
            <w:tcW w:w="851" w:type="pct"/>
            <w:vAlign w:val="center"/>
          </w:tcPr>
          <w:p w14:paraId="1D8274D1" w14:textId="69B5CB61" w:rsidR="0035583F" w:rsidRPr="00916B56" w:rsidRDefault="0035583F" w:rsidP="0035583F">
            <w:pPr>
              <w:kinsoku w:val="0"/>
              <w:overflowPunct w:val="0"/>
              <w:autoSpaceDE w:val="0"/>
              <w:autoSpaceDN w:val="0"/>
              <w:adjustRightInd w:val="0"/>
              <w:snapToGrid w:val="0"/>
              <w:jc w:val="right"/>
              <w:rPr>
                <w:sz w:val="21"/>
                <w:szCs w:val="21"/>
              </w:rPr>
            </w:pPr>
            <w:r>
              <w:t>4.75</w:t>
            </w:r>
          </w:p>
        </w:tc>
      </w:tr>
      <w:tr w:rsidR="0035583F" w:rsidRPr="00916B56" w14:paraId="6D44678C" w14:textId="77777777" w:rsidTr="0035583F">
        <w:trPr>
          <w:trHeight w:val="253"/>
        </w:trPr>
        <w:tc>
          <w:tcPr>
            <w:tcW w:w="1382" w:type="pct"/>
          </w:tcPr>
          <w:p w14:paraId="563AE30B" w14:textId="77777777" w:rsidR="0035583F" w:rsidRPr="00916B56" w:rsidRDefault="0035583F" w:rsidP="0035583F">
            <w:pPr>
              <w:kinsoku w:val="0"/>
              <w:overflowPunct w:val="0"/>
              <w:autoSpaceDE w:val="0"/>
              <w:autoSpaceDN w:val="0"/>
              <w:adjustRightInd w:val="0"/>
              <w:snapToGrid w:val="0"/>
              <w:rPr>
                <w:sz w:val="21"/>
                <w:szCs w:val="21"/>
              </w:rPr>
            </w:pPr>
            <w:r w:rsidRPr="00916B56">
              <w:rPr>
                <w:sz w:val="21"/>
                <w:szCs w:val="21"/>
              </w:rPr>
              <w:t>Total assets</w:t>
            </w:r>
          </w:p>
        </w:tc>
        <w:tc>
          <w:tcPr>
            <w:tcW w:w="1384" w:type="pct"/>
            <w:vAlign w:val="center"/>
          </w:tcPr>
          <w:p w14:paraId="2C24FB55" w14:textId="360FE8B9" w:rsidR="0035583F" w:rsidRPr="00916B56" w:rsidRDefault="0035583F" w:rsidP="0035583F">
            <w:pPr>
              <w:kinsoku w:val="0"/>
              <w:overflowPunct w:val="0"/>
              <w:autoSpaceDE w:val="0"/>
              <w:autoSpaceDN w:val="0"/>
              <w:adjustRightInd w:val="0"/>
              <w:snapToGrid w:val="0"/>
              <w:jc w:val="right"/>
              <w:rPr>
                <w:sz w:val="21"/>
                <w:szCs w:val="21"/>
              </w:rPr>
            </w:pPr>
            <w:r>
              <w:t>54,485,715,824.39</w:t>
            </w:r>
          </w:p>
        </w:tc>
        <w:tc>
          <w:tcPr>
            <w:tcW w:w="1383" w:type="pct"/>
            <w:vAlign w:val="center"/>
          </w:tcPr>
          <w:p w14:paraId="21CAB9A8" w14:textId="4757AD8C" w:rsidR="0035583F" w:rsidRPr="00916B56" w:rsidRDefault="0035583F" w:rsidP="0035583F">
            <w:pPr>
              <w:kinsoku w:val="0"/>
              <w:overflowPunct w:val="0"/>
              <w:autoSpaceDE w:val="0"/>
              <w:autoSpaceDN w:val="0"/>
              <w:adjustRightInd w:val="0"/>
              <w:snapToGrid w:val="0"/>
              <w:jc w:val="right"/>
              <w:rPr>
                <w:bCs/>
                <w:sz w:val="21"/>
                <w:szCs w:val="21"/>
              </w:rPr>
            </w:pPr>
            <w:r>
              <w:t>46,270,705,774.50</w:t>
            </w:r>
          </w:p>
        </w:tc>
        <w:tc>
          <w:tcPr>
            <w:tcW w:w="851" w:type="pct"/>
            <w:vAlign w:val="center"/>
          </w:tcPr>
          <w:p w14:paraId="79412A55" w14:textId="4FE0A206" w:rsidR="0035583F" w:rsidRPr="00916B56" w:rsidRDefault="0035583F" w:rsidP="0035583F">
            <w:pPr>
              <w:kinsoku w:val="0"/>
              <w:overflowPunct w:val="0"/>
              <w:autoSpaceDE w:val="0"/>
              <w:autoSpaceDN w:val="0"/>
              <w:adjustRightInd w:val="0"/>
              <w:snapToGrid w:val="0"/>
              <w:jc w:val="right"/>
              <w:rPr>
                <w:sz w:val="21"/>
                <w:szCs w:val="21"/>
              </w:rPr>
            </w:pPr>
            <w:r>
              <w:t>17.75</w:t>
            </w:r>
          </w:p>
        </w:tc>
      </w:tr>
    </w:tbl>
    <w:p w14:paraId="74454F81" w14:textId="77777777" w:rsidR="00915114" w:rsidRPr="00916B56" w:rsidRDefault="00915114" w:rsidP="00915114">
      <w:pPr>
        <w:rPr>
          <w:rFonts w:ascii="Times New Roman" w:hAnsi="Times New Roman" w:cs="Times New Roman"/>
          <w:szCs w:val="21"/>
          <w:lang w:val="en"/>
        </w:rPr>
      </w:pPr>
    </w:p>
    <w:p w14:paraId="22080C90" w14:textId="77777777" w:rsidR="00141B44" w:rsidRPr="00916B56" w:rsidRDefault="00915114" w:rsidP="00141B44">
      <w:pPr>
        <w:keepNext/>
        <w:keepLines/>
        <w:numPr>
          <w:ilvl w:val="1"/>
          <w:numId w:val="2"/>
        </w:numPr>
        <w:spacing w:before="60" w:after="60"/>
        <w:outlineLvl w:val="2"/>
        <w:rPr>
          <w:rFonts w:ascii="Times New Roman" w:eastAsia="宋体" w:hAnsi="Times New Roman" w:cs="Times New Roman"/>
          <w:b/>
          <w:bCs/>
          <w:kern w:val="0"/>
          <w:szCs w:val="21"/>
          <w:lang w:val="en"/>
        </w:rPr>
      </w:pPr>
      <w:r w:rsidRPr="00916B56">
        <w:rPr>
          <w:rFonts w:ascii="Times New Roman" w:eastAsia="宋体" w:hAnsi="Times New Roman" w:cs="Times New Roman"/>
          <w:b/>
          <w:bCs/>
          <w:kern w:val="0"/>
          <w:szCs w:val="21"/>
          <w:lang w:val="en"/>
        </w:rPr>
        <w:t>Key Financial Indicators</w:t>
      </w:r>
    </w:p>
    <w:p w14:paraId="29D6BE2A" w14:textId="670F142E" w:rsidR="00141B44" w:rsidRPr="00916B56" w:rsidRDefault="00141B44" w:rsidP="00141B44">
      <w:pPr>
        <w:jc w:val="right"/>
        <w:rPr>
          <w:rFonts w:ascii="Times New Roman" w:eastAsia="宋体" w:hAnsi="Times New Roman" w:cs="Times New Roman"/>
          <w:bCs/>
          <w:kern w:val="0"/>
          <w:szCs w:val="21"/>
          <w:lang w:val="en"/>
        </w:rPr>
      </w:pPr>
    </w:p>
    <w:tbl>
      <w:tblPr>
        <w:tblStyle w:val="1"/>
        <w:tblW w:w="5072" w:type="pct"/>
        <w:tblLook w:val="04A0" w:firstRow="1" w:lastRow="0" w:firstColumn="1" w:lastColumn="0" w:noHBand="0" w:noVBand="1"/>
      </w:tblPr>
      <w:tblGrid>
        <w:gridCol w:w="3306"/>
        <w:gridCol w:w="1510"/>
        <w:gridCol w:w="1558"/>
        <w:gridCol w:w="2041"/>
      </w:tblGrid>
      <w:tr w:rsidR="0035583F" w:rsidRPr="00916B56" w14:paraId="73575D57" w14:textId="77777777" w:rsidTr="0035583F">
        <w:trPr>
          <w:trHeight w:val="286"/>
        </w:trPr>
        <w:tc>
          <w:tcPr>
            <w:tcW w:w="1964" w:type="pct"/>
            <w:vAlign w:val="center"/>
          </w:tcPr>
          <w:p w14:paraId="2E4A2089" w14:textId="77777777" w:rsidR="0035583F" w:rsidRPr="00916B56" w:rsidRDefault="0035583F" w:rsidP="00915114">
            <w:pPr>
              <w:kinsoku w:val="0"/>
              <w:overflowPunct w:val="0"/>
              <w:autoSpaceDE w:val="0"/>
              <w:autoSpaceDN w:val="0"/>
              <w:adjustRightInd w:val="0"/>
              <w:snapToGrid w:val="0"/>
              <w:jc w:val="center"/>
              <w:rPr>
                <w:sz w:val="21"/>
                <w:szCs w:val="21"/>
              </w:rPr>
            </w:pPr>
            <w:r w:rsidRPr="00916B56">
              <w:rPr>
                <w:sz w:val="21"/>
                <w:szCs w:val="21"/>
              </w:rPr>
              <w:t>Key Financial Indicators</w:t>
            </w:r>
          </w:p>
        </w:tc>
        <w:tc>
          <w:tcPr>
            <w:tcW w:w="897" w:type="pct"/>
            <w:vAlign w:val="center"/>
          </w:tcPr>
          <w:p w14:paraId="6CCEE1FD" w14:textId="5D994F3E" w:rsidR="0035583F" w:rsidRPr="00916B56" w:rsidRDefault="00BE5F21" w:rsidP="00915114">
            <w:pPr>
              <w:kinsoku w:val="0"/>
              <w:overflowPunct w:val="0"/>
              <w:autoSpaceDE w:val="0"/>
              <w:autoSpaceDN w:val="0"/>
              <w:adjustRightInd w:val="0"/>
              <w:snapToGrid w:val="0"/>
              <w:jc w:val="center"/>
              <w:rPr>
                <w:sz w:val="21"/>
                <w:szCs w:val="21"/>
              </w:rPr>
            </w:pPr>
            <w:r>
              <w:rPr>
                <w:sz w:val="21"/>
                <w:szCs w:val="21"/>
              </w:rPr>
              <w:t>2026</w:t>
            </w:r>
            <w:r w:rsidR="0035583F">
              <w:rPr>
                <w:sz w:val="21"/>
                <w:szCs w:val="21"/>
              </w:rPr>
              <w:t xml:space="preserve"> H1</w:t>
            </w:r>
          </w:p>
        </w:tc>
        <w:tc>
          <w:tcPr>
            <w:tcW w:w="926" w:type="pct"/>
            <w:vAlign w:val="center"/>
          </w:tcPr>
          <w:p w14:paraId="57C085EB" w14:textId="045DB447" w:rsidR="0035583F" w:rsidRPr="00916B56" w:rsidRDefault="00BE5F21" w:rsidP="00915114">
            <w:pPr>
              <w:kinsoku w:val="0"/>
              <w:overflowPunct w:val="0"/>
              <w:autoSpaceDE w:val="0"/>
              <w:autoSpaceDN w:val="0"/>
              <w:adjustRightInd w:val="0"/>
              <w:snapToGrid w:val="0"/>
              <w:jc w:val="center"/>
              <w:rPr>
                <w:sz w:val="21"/>
                <w:szCs w:val="21"/>
              </w:rPr>
            </w:pPr>
            <w:r>
              <w:rPr>
                <w:sz w:val="21"/>
                <w:szCs w:val="21"/>
              </w:rPr>
              <w:t>2025</w:t>
            </w:r>
            <w:r w:rsidR="0035583F">
              <w:rPr>
                <w:sz w:val="21"/>
                <w:szCs w:val="21"/>
              </w:rPr>
              <w:t xml:space="preserve"> H1</w:t>
            </w:r>
          </w:p>
        </w:tc>
        <w:tc>
          <w:tcPr>
            <w:tcW w:w="1213" w:type="pct"/>
            <w:vAlign w:val="center"/>
          </w:tcPr>
          <w:p w14:paraId="38F11A45" w14:textId="77777777" w:rsidR="00DC170F" w:rsidRPr="00DC170F" w:rsidRDefault="00DC170F" w:rsidP="00DC170F">
            <w:pPr>
              <w:kinsoku w:val="0"/>
              <w:overflowPunct w:val="0"/>
              <w:autoSpaceDE w:val="0"/>
              <w:autoSpaceDN w:val="0"/>
              <w:adjustRightInd w:val="0"/>
              <w:snapToGrid w:val="0"/>
              <w:jc w:val="center"/>
              <w:rPr>
                <w:szCs w:val="21"/>
              </w:rPr>
            </w:pPr>
            <w:r w:rsidRPr="00DC170F">
              <w:rPr>
                <w:szCs w:val="21"/>
              </w:rPr>
              <w:t xml:space="preserve">Change  </w:t>
            </w:r>
          </w:p>
          <w:p w14:paraId="1489ADC6" w14:textId="77777777" w:rsidR="00DC170F" w:rsidRPr="00DC170F" w:rsidRDefault="00DC170F" w:rsidP="00DC170F">
            <w:pPr>
              <w:kinsoku w:val="0"/>
              <w:overflowPunct w:val="0"/>
              <w:autoSpaceDE w:val="0"/>
              <w:autoSpaceDN w:val="0"/>
              <w:adjustRightInd w:val="0"/>
              <w:snapToGrid w:val="0"/>
              <w:jc w:val="center"/>
              <w:rPr>
                <w:szCs w:val="21"/>
              </w:rPr>
            </w:pPr>
            <w:r w:rsidRPr="00DC170F">
              <w:rPr>
                <w:szCs w:val="21"/>
              </w:rPr>
              <w:t xml:space="preserve">over the </w:t>
            </w:r>
          </w:p>
          <w:p w14:paraId="00DC3D34" w14:textId="77777777" w:rsidR="00DC170F" w:rsidRPr="00DC170F" w:rsidRDefault="00DC170F" w:rsidP="00DC170F">
            <w:pPr>
              <w:kinsoku w:val="0"/>
              <w:overflowPunct w:val="0"/>
              <w:autoSpaceDE w:val="0"/>
              <w:autoSpaceDN w:val="0"/>
              <w:adjustRightInd w:val="0"/>
              <w:snapToGrid w:val="0"/>
              <w:jc w:val="center"/>
              <w:rPr>
                <w:szCs w:val="21"/>
              </w:rPr>
            </w:pPr>
            <w:r w:rsidRPr="00DC170F">
              <w:rPr>
                <w:szCs w:val="21"/>
              </w:rPr>
              <w:lastRenderedPageBreak/>
              <w:t xml:space="preserve">corresponding </w:t>
            </w:r>
          </w:p>
          <w:p w14:paraId="1C24B72E" w14:textId="77777777" w:rsidR="00DC170F" w:rsidRPr="00DC170F" w:rsidRDefault="00DC170F" w:rsidP="00DC170F">
            <w:pPr>
              <w:kinsoku w:val="0"/>
              <w:overflowPunct w:val="0"/>
              <w:autoSpaceDE w:val="0"/>
              <w:autoSpaceDN w:val="0"/>
              <w:adjustRightInd w:val="0"/>
              <w:snapToGrid w:val="0"/>
              <w:jc w:val="center"/>
              <w:rPr>
                <w:szCs w:val="21"/>
              </w:rPr>
            </w:pPr>
            <w:r w:rsidRPr="00DC170F">
              <w:rPr>
                <w:szCs w:val="21"/>
              </w:rPr>
              <w:t xml:space="preserve">period last </w:t>
            </w:r>
          </w:p>
          <w:p w14:paraId="0FDE6E80" w14:textId="488604DF" w:rsidR="0035583F" w:rsidRPr="00916B56" w:rsidRDefault="00DC170F" w:rsidP="00DC170F">
            <w:pPr>
              <w:kinsoku w:val="0"/>
              <w:overflowPunct w:val="0"/>
              <w:autoSpaceDE w:val="0"/>
              <w:autoSpaceDN w:val="0"/>
              <w:adjustRightInd w:val="0"/>
              <w:snapToGrid w:val="0"/>
              <w:jc w:val="center"/>
              <w:rPr>
                <w:sz w:val="21"/>
                <w:szCs w:val="21"/>
              </w:rPr>
            </w:pPr>
            <w:r w:rsidRPr="00DC170F">
              <w:rPr>
                <w:szCs w:val="21"/>
              </w:rPr>
              <w:t>year (%)</w:t>
            </w:r>
          </w:p>
        </w:tc>
      </w:tr>
      <w:tr w:rsidR="0035583F" w:rsidRPr="00916B56" w14:paraId="59599F6E" w14:textId="77777777" w:rsidTr="0035583F">
        <w:trPr>
          <w:trHeight w:val="573"/>
        </w:trPr>
        <w:tc>
          <w:tcPr>
            <w:tcW w:w="1964" w:type="pct"/>
            <w:vAlign w:val="center"/>
          </w:tcPr>
          <w:p w14:paraId="79A4B7E8" w14:textId="77777777" w:rsidR="0035583F" w:rsidRPr="00916B56" w:rsidRDefault="0035583F" w:rsidP="0035583F">
            <w:pPr>
              <w:kinsoku w:val="0"/>
              <w:wordWrap w:val="0"/>
              <w:overflowPunct w:val="0"/>
              <w:autoSpaceDE w:val="0"/>
              <w:autoSpaceDN w:val="0"/>
              <w:adjustRightInd w:val="0"/>
              <w:snapToGrid w:val="0"/>
              <w:rPr>
                <w:sz w:val="21"/>
                <w:szCs w:val="21"/>
              </w:rPr>
            </w:pPr>
            <w:bookmarkStart w:id="5" w:name="_Hlk199242484"/>
            <w:r w:rsidRPr="00916B56">
              <w:rPr>
                <w:sz w:val="21"/>
                <w:szCs w:val="21"/>
              </w:rPr>
              <w:lastRenderedPageBreak/>
              <w:t>Basic earnings per share (CNY/share)</w:t>
            </w:r>
          </w:p>
        </w:tc>
        <w:tc>
          <w:tcPr>
            <w:tcW w:w="897" w:type="pct"/>
            <w:vAlign w:val="center"/>
          </w:tcPr>
          <w:p w14:paraId="3F302F4D" w14:textId="7A3959EE" w:rsidR="0035583F" w:rsidRPr="00916B56" w:rsidRDefault="0035583F" w:rsidP="0035583F">
            <w:pPr>
              <w:kinsoku w:val="0"/>
              <w:overflowPunct w:val="0"/>
              <w:autoSpaceDE w:val="0"/>
              <w:autoSpaceDN w:val="0"/>
              <w:adjustRightInd w:val="0"/>
              <w:snapToGrid w:val="0"/>
              <w:jc w:val="right"/>
              <w:rPr>
                <w:sz w:val="21"/>
                <w:szCs w:val="21"/>
              </w:rPr>
            </w:pPr>
            <w:r>
              <w:rPr>
                <w:rFonts w:hint="eastAsia"/>
              </w:rPr>
              <w:t>0.69</w:t>
            </w:r>
          </w:p>
        </w:tc>
        <w:tc>
          <w:tcPr>
            <w:tcW w:w="926" w:type="pct"/>
            <w:vAlign w:val="center"/>
          </w:tcPr>
          <w:p w14:paraId="369365BB" w14:textId="6808A2E2" w:rsidR="0035583F" w:rsidRPr="00916B56" w:rsidRDefault="0035583F" w:rsidP="0035583F">
            <w:pPr>
              <w:kinsoku w:val="0"/>
              <w:overflowPunct w:val="0"/>
              <w:autoSpaceDE w:val="0"/>
              <w:autoSpaceDN w:val="0"/>
              <w:adjustRightInd w:val="0"/>
              <w:snapToGrid w:val="0"/>
              <w:jc w:val="right"/>
              <w:rPr>
                <w:sz w:val="21"/>
                <w:szCs w:val="21"/>
              </w:rPr>
            </w:pPr>
            <w:r>
              <w:rPr>
                <w:rFonts w:hint="eastAsia"/>
              </w:rPr>
              <w:t>0.49</w:t>
            </w:r>
          </w:p>
        </w:tc>
        <w:tc>
          <w:tcPr>
            <w:tcW w:w="1213" w:type="pct"/>
            <w:vAlign w:val="center"/>
          </w:tcPr>
          <w:p w14:paraId="4FB278B8" w14:textId="476B4F37" w:rsidR="0035583F" w:rsidRPr="00916B56" w:rsidRDefault="0035583F" w:rsidP="0035583F">
            <w:pPr>
              <w:kinsoku w:val="0"/>
              <w:overflowPunct w:val="0"/>
              <w:autoSpaceDE w:val="0"/>
              <w:autoSpaceDN w:val="0"/>
              <w:adjustRightInd w:val="0"/>
              <w:snapToGrid w:val="0"/>
              <w:jc w:val="right"/>
              <w:rPr>
                <w:sz w:val="21"/>
                <w:szCs w:val="21"/>
              </w:rPr>
            </w:pPr>
            <w:r>
              <w:rPr>
                <w:rFonts w:hint="eastAsia"/>
              </w:rPr>
              <w:t>40.82</w:t>
            </w:r>
          </w:p>
        </w:tc>
      </w:tr>
      <w:tr w:rsidR="0035583F" w:rsidRPr="00916B56" w14:paraId="79D8BBD7" w14:textId="77777777" w:rsidTr="0035583F">
        <w:trPr>
          <w:trHeight w:val="584"/>
        </w:trPr>
        <w:tc>
          <w:tcPr>
            <w:tcW w:w="1964" w:type="pct"/>
            <w:vAlign w:val="center"/>
          </w:tcPr>
          <w:p w14:paraId="5E462E61" w14:textId="77777777" w:rsidR="0035583F" w:rsidRPr="00916B56" w:rsidRDefault="0035583F" w:rsidP="0035583F">
            <w:pPr>
              <w:kinsoku w:val="0"/>
              <w:wordWrap w:val="0"/>
              <w:overflowPunct w:val="0"/>
              <w:autoSpaceDE w:val="0"/>
              <w:autoSpaceDN w:val="0"/>
              <w:adjustRightInd w:val="0"/>
              <w:snapToGrid w:val="0"/>
              <w:rPr>
                <w:sz w:val="21"/>
                <w:szCs w:val="21"/>
              </w:rPr>
            </w:pPr>
            <w:r w:rsidRPr="00916B56">
              <w:rPr>
                <w:sz w:val="21"/>
                <w:szCs w:val="21"/>
              </w:rPr>
              <w:t>Diluted earnings per share (CNY/share)</w:t>
            </w:r>
          </w:p>
        </w:tc>
        <w:tc>
          <w:tcPr>
            <w:tcW w:w="897" w:type="pct"/>
            <w:vAlign w:val="center"/>
          </w:tcPr>
          <w:p w14:paraId="456E1CE6" w14:textId="57F3ADDE" w:rsidR="0035583F" w:rsidRPr="00916B56" w:rsidRDefault="0035583F" w:rsidP="0035583F">
            <w:pPr>
              <w:kinsoku w:val="0"/>
              <w:overflowPunct w:val="0"/>
              <w:autoSpaceDE w:val="0"/>
              <w:autoSpaceDN w:val="0"/>
              <w:adjustRightInd w:val="0"/>
              <w:snapToGrid w:val="0"/>
              <w:jc w:val="right"/>
              <w:rPr>
                <w:sz w:val="21"/>
                <w:szCs w:val="21"/>
              </w:rPr>
            </w:pPr>
            <w:r>
              <w:rPr>
                <w:rFonts w:hint="eastAsia"/>
              </w:rPr>
              <w:t>0.69</w:t>
            </w:r>
          </w:p>
        </w:tc>
        <w:tc>
          <w:tcPr>
            <w:tcW w:w="926" w:type="pct"/>
            <w:vAlign w:val="center"/>
          </w:tcPr>
          <w:p w14:paraId="2C577F58" w14:textId="5BBF23D0" w:rsidR="0035583F" w:rsidRPr="00916B56" w:rsidRDefault="0035583F" w:rsidP="0035583F">
            <w:pPr>
              <w:kinsoku w:val="0"/>
              <w:overflowPunct w:val="0"/>
              <w:autoSpaceDE w:val="0"/>
              <w:autoSpaceDN w:val="0"/>
              <w:adjustRightInd w:val="0"/>
              <w:snapToGrid w:val="0"/>
              <w:jc w:val="right"/>
              <w:rPr>
                <w:sz w:val="21"/>
                <w:szCs w:val="21"/>
              </w:rPr>
            </w:pPr>
            <w:r>
              <w:rPr>
                <w:rFonts w:hint="eastAsia"/>
              </w:rPr>
              <w:t>0.49</w:t>
            </w:r>
          </w:p>
        </w:tc>
        <w:tc>
          <w:tcPr>
            <w:tcW w:w="1213" w:type="pct"/>
            <w:vAlign w:val="center"/>
          </w:tcPr>
          <w:p w14:paraId="33BD1A00" w14:textId="50B12D83" w:rsidR="0035583F" w:rsidRPr="00916B56" w:rsidRDefault="0035583F" w:rsidP="0035583F">
            <w:pPr>
              <w:kinsoku w:val="0"/>
              <w:overflowPunct w:val="0"/>
              <w:autoSpaceDE w:val="0"/>
              <w:autoSpaceDN w:val="0"/>
              <w:adjustRightInd w:val="0"/>
              <w:snapToGrid w:val="0"/>
              <w:jc w:val="right"/>
              <w:rPr>
                <w:sz w:val="21"/>
                <w:szCs w:val="21"/>
              </w:rPr>
            </w:pPr>
            <w:r>
              <w:rPr>
                <w:rFonts w:hint="eastAsia"/>
              </w:rPr>
              <w:t>40.82</w:t>
            </w:r>
          </w:p>
        </w:tc>
      </w:tr>
      <w:tr w:rsidR="0035583F" w:rsidRPr="00916B56" w14:paraId="6F21A888" w14:textId="77777777" w:rsidTr="0035583F">
        <w:trPr>
          <w:trHeight w:val="573"/>
        </w:trPr>
        <w:tc>
          <w:tcPr>
            <w:tcW w:w="1964" w:type="pct"/>
            <w:vAlign w:val="center"/>
          </w:tcPr>
          <w:p w14:paraId="0AAB30E7" w14:textId="77777777" w:rsidR="0035583F" w:rsidRPr="00916B56" w:rsidRDefault="0035583F" w:rsidP="0035583F">
            <w:pPr>
              <w:kinsoku w:val="0"/>
              <w:wordWrap w:val="0"/>
              <w:overflowPunct w:val="0"/>
              <w:autoSpaceDE w:val="0"/>
              <w:autoSpaceDN w:val="0"/>
              <w:adjustRightInd w:val="0"/>
              <w:snapToGrid w:val="0"/>
              <w:rPr>
                <w:sz w:val="21"/>
                <w:szCs w:val="21"/>
              </w:rPr>
            </w:pPr>
            <w:r w:rsidRPr="00916B56">
              <w:rPr>
                <w:sz w:val="21"/>
                <w:szCs w:val="21"/>
              </w:rPr>
              <w:t>Basic earnings per share after deducting non-recurring gains and losses (CNY/share)</w:t>
            </w:r>
          </w:p>
        </w:tc>
        <w:tc>
          <w:tcPr>
            <w:tcW w:w="897" w:type="pct"/>
            <w:vAlign w:val="center"/>
          </w:tcPr>
          <w:p w14:paraId="647FC2E4" w14:textId="484E0FBC" w:rsidR="0035583F" w:rsidRPr="00916B56" w:rsidRDefault="0035583F" w:rsidP="0035583F">
            <w:pPr>
              <w:kinsoku w:val="0"/>
              <w:overflowPunct w:val="0"/>
              <w:autoSpaceDE w:val="0"/>
              <w:autoSpaceDN w:val="0"/>
              <w:adjustRightInd w:val="0"/>
              <w:snapToGrid w:val="0"/>
              <w:jc w:val="right"/>
              <w:rPr>
                <w:sz w:val="21"/>
                <w:szCs w:val="21"/>
              </w:rPr>
            </w:pPr>
            <w:r>
              <w:rPr>
                <w:rFonts w:hint="eastAsia"/>
              </w:rPr>
              <w:t>0.62</w:t>
            </w:r>
          </w:p>
        </w:tc>
        <w:tc>
          <w:tcPr>
            <w:tcW w:w="926" w:type="pct"/>
            <w:vAlign w:val="center"/>
          </w:tcPr>
          <w:p w14:paraId="14648EC8" w14:textId="24F27FA4" w:rsidR="0035583F" w:rsidRPr="00916B56" w:rsidRDefault="0035583F" w:rsidP="0035583F">
            <w:pPr>
              <w:kinsoku w:val="0"/>
              <w:overflowPunct w:val="0"/>
              <w:autoSpaceDE w:val="0"/>
              <w:autoSpaceDN w:val="0"/>
              <w:adjustRightInd w:val="0"/>
              <w:snapToGrid w:val="0"/>
              <w:jc w:val="right"/>
              <w:rPr>
                <w:sz w:val="21"/>
                <w:szCs w:val="21"/>
              </w:rPr>
            </w:pPr>
            <w:r>
              <w:rPr>
                <w:rFonts w:hint="eastAsia"/>
              </w:rPr>
              <w:t>0.46</w:t>
            </w:r>
          </w:p>
        </w:tc>
        <w:tc>
          <w:tcPr>
            <w:tcW w:w="1213" w:type="pct"/>
            <w:vAlign w:val="center"/>
          </w:tcPr>
          <w:p w14:paraId="70C63BFC" w14:textId="061F3F04" w:rsidR="0035583F" w:rsidRPr="00916B56" w:rsidRDefault="0035583F" w:rsidP="0035583F">
            <w:pPr>
              <w:kinsoku w:val="0"/>
              <w:overflowPunct w:val="0"/>
              <w:autoSpaceDE w:val="0"/>
              <w:autoSpaceDN w:val="0"/>
              <w:adjustRightInd w:val="0"/>
              <w:snapToGrid w:val="0"/>
              <w:jc w:val="right"/>
              <w:rPr>
                <w:sz w:val="21"/>
                <w:szCs w:val="21"/>
              </w:rPr>
            </w:pPr>
            <w:r>
              <w:rPr>
                <w:rFonts w:hint="eastAsia"/>
              </w:rPr>
              <w:t>34.78</w:t>
            </w:r>
          </w:p>
        </w:tc>
      </w:tr>
      <w:tr w:rsidR="0035583F" w:rsidRPr="00916B56" w14:paraId="42EADADD" w14:textId="77777777" w:rsidTr="0035583F">
        <w:trPr>
          <w:trHeight w:val="286"/>
        </w:trPr>
        <w:tc>
          <w:tcPr>
            <w:tcW w:w="1964" w:type="pct"/>
            <w:vAlign w:val="center"/>
          </w:tcPr>
          <w:p w14:paraId="794B65B6" w14:textId="77777777" w:rsidR="0035583F" w:rsidRPr="00916B56" w:rsidRDefault="0035583F" w:rsidP="0035583F">
            <w:pPr>
              <w:kinsoku w:val="0"/>
              <w:overflowPunct w:val="0"/>
              <w:autoSpaceDE w:val="0"/>
              <w:autoSpaceDN w:val="0"/>
              <w:adjustRightInd w:val="0"/>
              <w:snapToGrid w:val="0"/>
              <w:rPr>
                <w:sz w:val="21"/>
                <w:szCs w:val="21"/>
              </w:rPr>
            </w:pPr>
            <w:r w:rsidRPr="00916B56">
              <w:rPr>
                <w:sz w:val="21"/>
                <w:szCs w:val="21"/>
              </w:rPr>
              <w:t>Weighted average ROE (%)</w:t>
            </w:r>
          </w:p>
        </w:tc>
        <w:tc>
          <w:tcPr>
            <w:tcW w:w="897" w:type="pct"/>
            <w:vAlign w:val="center"/>
          </w:tcPr>
          <w:p w14:paraId="5C89DE24" w14:textId="4FE137FE" w:rsidR="0035583F" w:rsidRPr="00916B56" w:rsidRDefault="0035583F" w:rsidP="0035583F">
            <w:pPr>
              <w:kinsoku w:val="0"/>
              <w:overflowPunct w:val="0"/>
              <w:autoSpaceDE w:val="0"/>
              <w:autoSpaceDN w:val="0"/>
              <w:adjustRightInd w:val="0"/>
              <w:snapToGrid w:val="0"/>
              <w:jc w:val="right"/>
              <w:rPr>
                <w:sz w:val="21"/>
                <w:szCs w:val="21"/>
              </w:rPr>
            </w:pPr>
            <w:r>
              <w:rPr>
                <w:rFonts w:hint="eastAsia"/>
              </w:rPr>
              <w:t>6.89</w:t>
            </w:r>
          </w:p>
        </w:tc>
        <w:tc>
          <w:tcPr>
            <w:tcW w:w="926" w:type="pct"/>
            <w:vAlign w:val="center"/>
          </w:tcPr>
          <w:p w14:paraId="301C01FE" w14:textId="12A7109B" w:rsidR="0035583F" w:rsidRPr="00916B56" w:rsidRDefault="0035583F" w:rsidP="0035583F">
            <w:pPr>
              <w:kinsoku w:val="0"/>
              <w:overflowPunct w:val="0"/>
              <w:autoSpaceDE w:val="0"/>
              <w:autoSpaceDN w:val="0"/>
              <w:adjustRightInd w:val="0"/>
              <w:snapToGrid w:val="0"/>
              <w:jc w:val="right"/>
              <w:rPr>
                <w:sz w:val="21"/>
                <w:szCs w:val="21"/>
              </w:rPr>
            </w:pPr>
            <w:r>
              <w:rPr>
                <w:rFonts w:hint="eastAsia"/>
              </w:rPr>
              <w:t>5.58</w:t>
            </w:r>
          </w:p>
        </w:tc>
        <w:tc>
          <w:tcPr>
            <w:tcW w:w="1213" w:type="pct"/>
            <w:vAlign w:val="center"/>
          </w:tcPr>
          <w:p w14:paraId="3D852ADD" w14:textId="5875C8E2" w:rsidR="0035583F" w:rsidRPr="00916B56" w:rsidRDefault="00DC170F" w:rsidP="0035583F">
            <w:pPr>
              <w:kinsoku w:val="0"/>
              <w:overflowPunct w:val="0"/>
              <w:autoSpaceDE w:val="0"/>
              <w:autoSpaceDN w:val="0"/>
              <w:adjustRightInd w:val="0"/>
              <w:snapToGrid w:val="0"/>
              <w:jc w:val="right"/>
              <w:rPr>
                <w:sz w:val="21"/>
                <w:szCs w:val="21"/>
              </w:rPr>
            </w:pPr>
            <w:r>
              <w:rPr>
                <w:sz w:val="21"/>
                <w:szCs w:val="21"/>
              </w:rPr>
              <w:t>U</w:t>
            </w:r>
            <w:r>
              <w:rPr>
                <w:rFonts w:hint="eastAsia"/>
                <w:sz w:val="21"/>
                <w:szCs w:val="21"/>
              </w:rPr>
              <w:t>p</w:t>
            </w:r>
            <w:r>
              <w:rPr>
                <w:sz w:val="21"/>
                <w:szCs w:val="21"/>
              </w:rPr>
              <w:t xml:space="preserve"> </w:t>
            </w:r>
            <w:r w:rsidR="0035583F">
              <w:rPr>
                <w:sz w:val="21"/>
                <w:szCs w:val="21"/>
              </w:rPr>
              <w:t>1.31</w:t>
            </w:r>
          </w:p>
        </w:tc>
      </w:tr>
      <w:tr w:rsidR="0035583F" w:rsidRPr="00916B56" w14:paraId="6E238BE1" w14:textId="77777777" w:rsidTr="0035583F">
        <w:trPr>
          <w:trHeight w:val="871"/>
        </w:trPr>
        <w:tc>
          <w:tcPr>
            <w:tcW w:w="1964" w:type="pct"/>
            <w:vAlign w:val="center"/>
          </w:tcPr>
          <w:p w14:paraId="46DB2AB9" w14:textId="77777777" w:rsidR="0035583F" w:rsidRPr="00916B56" w:rsidRDefault="0035583F" w:rsidP="0035583F">
            <w:pPr>
              <w:kinsoku w:val="0"/>
              <w:wordWrap w:val="0"/>
              <w:overflowPunct w:val="0"/>
              <w:autoSpaceDE w:val="0"/>
              <w:autoSpaceDN w:val="0"/>
              <w:adjustRightInd w:val="0"/>
              <w:snapToGrid w:val="0"/>
              <w:rPr>
                <w:sz w:val="21"/>
                <w:szCs w:val="21"/>
              </w:rPr>
            </w:pPr>
            <w:r w:rsidRPr="00916B56">
              <w:rPr>
                <w:sz w:val="21"/>
                <w:szCs w:val="21"/>
              </w:rPr>
              <w:t>Weighted average ROE after deducting non-recurring gains and losses (%)</w:t>
            </w:r>
          </w:p>
        </w:tc>
        <w:tc>
          <w:tcPr>
            <w:tcW w:w="897" w:type="pct"/>
            <w:vAlign w:val="center"/>
          </w:tcPr>
          <w:p w14:paraId="6102DE43" w14:textId="396A0DCB" w:rsidR="0035583F" w:rsidRPr="00916B56" w:rsidRDefault="0035583F" w:rsidP="0035583F">
            <w:pPr>
              <w:kinsoku w:val="0"/>
              <w:overflowPunct w:val="0"/>
              <w:autoSpaceDE w:val="0"/>
              <w:autoSpaceDN w:val="0"/>
              <w:adjustRightInd w:val="0"/>
              <w:snapToGrid w:val="0"/>
              <w:jc w:val="right"/>
              <w:rPr>
                <w:sz w:val="21"/>
                <w:szCs w:val="21"/>
              </w:rPr>
            </w:pPr>
            <w:r>
              <w:rPr>
                <w:rFonts w:hint="eastAsia"/>
              </w:rPr>
              <w:t>6.24</w:t>
            </w:r>
          </w:p>
        </w:tc>
        <w:tc>
          <w:tcPr>
            <w:tcW w:w="926" w:type="pct"/>
            <w:vAlign w:val="center"/>
          </w:tcPr>
          <w:p w14:paraId="46158F20" w14:textId="7991CB2D" w:rsidR="0035583F" w:rsidRPr="00916B56" w:rsidRDefault="0035583F" w:rsidP="0035583F">
            <w:pPr>
              <w:kinsoku w:val="0"/>
              <w:overflowPunct w:val="0"/>
              <w:autoSpaceDE w:val="0"/>
              <w:autoSpaceDN w:val="0"/>
              <w:adjustRightInd w:val="0"/>
              <w:snapToGrid w:val="0"/>
              <w:jc w:val="right"/>
              <w:rPr>
                <w:sz w:val="21"/>
                <w:szCs w:val="21"/>
              </w:rPr>
            </w:pPr>
            <w:r>
              <w:rPr>
                <w:rFonts w:hint="eastAsia"/>
              </w:rPr>
              <w:t>5.25</w:t>
            </w:r>
          </w:p>
        </w:tc>
        <w:tc>
          <w:tcPr>
            <w:tcW w:w="1213" w:type="pct"/>
            <w:vAlign w:val="center"/>
          </w:tcPr>
          <w:p w14:paraId="44208FD9" w14:textId="39A87931" w:rsidR="0035583F" w:rsidRPr="00916B56" w:rsidRDefault="00DC170F" w:rsidP="0035583F">
            <w:pPr>
              <w:kinsoku w:val="0"/>
              <w:overflowPunct w:val="0"/>
              <w:autoSpaceDE w:val="0"/>
              <w:autoSpaceDN w:val="0"/>
              <w:adjustRightInd w:val="0"/>
              <w:snapToGrid w:val="0"/>
              <w:jc w:val="right"/>
              <w:rPr>
                <w:sz w:val="21"/>
                <w:szCs w:val="21"/>
              </w:rPr>
            </w:pPr>
            <w:r>
              <w:rPr>
                <w:sz w:val="21"/>
                <w:szCs w:val="21"/>
              </w:rPr>
              <w:t xml:space="preserve">Up </w:t>
            </w:r>
            <w:r w:rsidR="0035583F">
              <w:rPr>
                <w:sz w:val="21"/>
                <w:szCs w:val="21"/>
              </w:rPr>
              <w:t>0.99</w:t>
            </w:r>
          </w:p>
        </w:tc>
      </w:tr>
    </w:tbl>
    <w:p w14:paraId="64BA269B" w14:textId="77777777" w:rsidR="00915114" w:rsidRPr="00916B56" w:rsidRDefault="00915114" w:rsidP="00CC71BF">
      <w:pPr>
        <w:keepNext/>
        <w:keepLines/>
        <w:numPr>
          <w:ilvl w:val="1"/>
          <w:numId w:val="1"/>
        </w:numPr>
        <w:spacing w:before="60" w:after="60" w:line="360" w:lineRule="auto"/>
        <w:ind w:left="498" w:hangingChars="236" w:hanging="498"/>
        <w:outlineLvl w:val="1"/>
        <w:rPr>
          <w:rFonts w:ascii="Times New Roman" w:eastAsia="宋体" w:hAnsi="Times New Roman" w:cs="Times New Roman"/>
          <w:b/>
          <w:bCs/>
          <w:szCs w:val="21"/>
          <w:lang w:val="en"/>
        </w:rPr>
      </w:pPr>
      <w:bookmarkStart w:id="6" w:name="OLE_LINK12"/>
      <w:bookmarkEnd w:id="5"/>
      <w:r w:rsidRPr="00916B56">
        <w:rPr>
          <w:rFonts w:ascii="Times New Roman" w:eastAsia="宋体" w:hAnsi="Times New Roman" w:cs="Times New Roman"/>
          <w:b/>
          <w:bCs/>
          <w:szCs w:val="21"/>
          <w:lang w:val="en"/>
        </w:rPr>
        <w:t>Discussion and Analysis of Business Situation</w:t>
      </w:r>
      <w:r w:rsidR="005D0509" w:rsidRPr="00916B56">
        <w:rPr>
          <w:rFonts w:ascii="Times New Roman" w:eastAsia="宋体" w:hAnsi="Times New Roman" w:cs="Times New Roman"/>
          <w:b/>
          <w:bCs/>
          <w:szCs w:val="21"/>
          <w:lang w:val="en"/>
        </w:rPr>
        <w:t xml:space="preserve"> Operations</w:t>
      </w:r>
    </w:p>
    <w:bookmarkEnd w:id="6"/>
    <w:p w14:paraId="230AAA92" w14:textId="2E7492C1"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 xml:space="preserve">Since 2026, the global energy‑transition drive has continued to fuel explosive demand for electric vehicles (“EVs”) and energy‑storage (“ESS”) markets, with exports of EVs, ESS and battery‑related products maintaining rapid growth. Specifically, on the domestic front, policies to boost new‑energy‑vehicle (“NEV”) consumption have been continuously implemented, sustaining high NEV penetration. Export businesses have grown rapidly as overseas market demand </w:t>
      </w:r>
      <w:r w:rsidR="005A2672">
        <w:rPr>
          <w:rFonts w:ascii="Times New Roman" w:hAnsi="Times New Roman" w:cs="Times New Roman"/>
          <w:szCs w:val="21"/>
        </w:rPr>
        <w:t>increases</w:t>
      </w:r>
      <w:r w:rsidRPr="00FC265B">
        <w:rPr>
          <w:rFonts w:ascii="Times New Roman" w:hAnsi="Times New Roman" w:cs="Times New Roman"/>
          <w:szCs w:val="21"/>
        </w:rPr>
        <w:t xml:space="preserve">. The roll‑out of capacity‑based tariff mechanisms has transformed the ESS market from mandatory energy‑storage allocation to market‑return‑driven development, triggering explosive growth in ESS installed capacity. In overseas markets, wind and solar power generation in Europe exceeded fossil‑fuel generation for the first time, mandating accelerated ESS project development. The US market has maintained robust demand driven by large‑scale ESS installation sprees and AI‑enabled energy‑storage deployment. Emerging markets shifting towards diversified energy supplies have seen surging demand for EVs and ESS, with accelerated industrial‑chain development. On the supply side, capacity‑utilisation rates of major global battery manufacturers have hit all‑time highs. </w:t>
      </w:r>
      <w:r w:rsidR="005A2672">
        <w:rPr>
          <w:rFonts w:ascii="Times New Roman" w:hAnsi="Times New Roman" w:cs="Times New Roman"/>
          <w:szCs w:val="21"/>
        </w:rPr>
        <w:t xml:space="preserve">The </w:t>
      </w:r>
      <w:r w:rsidR="005A2672">
        <w:rPr>
          <w:rFonts w:ascii="Times New Roman" w:hAnsi="Times New Roman" w:cs="Times New Roman" w:hint="eastAsia"/>
          <w:szCs w:val="21"/>
        </w:rPr>
        <w:t>e</w:t>
      </w:r>
      <w:r w:rsidR="005A2672">
        <w:rPr>
          <w:rFonts w:ascii="Times New Roman" w:hAnsi="Times New Roman" w:cs="Times New Roman"/>
          <w:szCs w:val="21"/>
        </w:rPr>
        <w:t>f</w:t>
      </w:r>
      <w:r w:rsidRPr="00FC265B">
        <w:rPr>
          <w:rFonts w:ascii="Times New Roman" w:hAnsi="Times New Roman" w:cs="Times New Roman"/>
          <w:szCs w:val="21"/>
        </w:rPr>
        <w:t xml:space="preserve">fective capacity build‑out </w:t>
      </w:r>
      <w:r w:rsidR="005A2672">
        <w:rPr>
          <w:rFonts w:ascii="Times New Roman" w:hAnsi="Times New Roman" w:cs="Times New Roman"/>
          <w:szCs w:val="21"/>
        </w:rPr>
        <w:t xml:space="preserve">of domestic </w:t>
      </w:r>
      <w:r w:rsidRPr="00FC265B">
        <w:rPr>
          <w:rFonts w:ascii="Times New Roman" w:hAnsi="Times New Roman" w:cs="Times New Roman"/>
          <w:szCs w:val="21"/>
        </w:rPr>
        <w:t>battery supply chain has lagged behind, tightening supply of ESS cells, upstream materials and equipment. In certain segments including anode materials, PVDF and base films, prices have trended upward amid raw‑material cost</w:t>
      </w:r>
      <w:r w:rsidR="005A2672">
        <w:rPr>
          <w:rFonts w:ascii="Times New Roman" w:hAnsi="Times New Roman" w:cs="Times New Roman"/>
          <w:szCs w:val="21"/>
        </w:rPr>
        <w:t xml:space="preserve"> impacts</w:t>
      </w:r>
      <w:r w:rsidRPr="00FC265B">
        <w:rPr>
          <w:rFonts w:ascii="Times New Roman" w:hAnsi="Times New Roman" w:cs="Times New Roman"/>
          <w:szCs w:val="21"/>
        </w:rPr>
        <w:t xml:space="preserve"> and industry supply‑demand imbalances. Sub‑sectors of new‑energy lithium‑ion batteries have entered a boom cycle characterised by “rising volume alongside rising prices”</w:t>
      </w:r>
      <w:r>
        <w:rPr>
          <w:rFonts w:ascii="Times New Roman" w:hAnsi="Times New Roman" w:cs="Times New Roman"/>
          <w:szCs w:val="21"/>
        </w:rPr>
        <w:t>.</w:t>
      </w:r>
    </w:p>
    <w:p w14:paraId="547815DF" w14:textId="7112E244"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 xml:space="preserve">During the reporting period, </w:t>
      </w:r>
      <w:r w:rsidR="00AC10C3">
        <w:rPr>
          <w:rFonts w:ascii="Times New Roman" w:hAnsi="Times New Roman" w:cs="Times New Roman" w:hint="eastAsia"/>
          <w:szCs w:val="21"/>
        </w:rPr>
        <w:t>the Company</w:t>
      </w:r>
      <w:r w:rsidR="00AC10C3" w:rsidRPr="00FC265B">
        <w:rPr>
          <w:rFonts w:ascii="Times New Roman" w:hAnsi="Times New Roman" w:cs="Times New Roman"/>
          <w:szCs w:val="21"/>
        </w:rPr>
        <w:t xml:space="preserve"> </w:t>
      </w:r>
      <w:r w:rsidRPr="00FC265B">
        <w:rPr>
          <w:rFonts w:ascii="Times New Roman" w:hAnsi="Times New Roman" w:cs="Times New Roman"/>
          <w:szCs w:val="21"/>
        </w:rPr>
        <w:t xml:space="preserve">seized market opportunities. Building upon full utilisation of existing production capacities, </w:t>
      </w:r>
      <w:r w:rsidR="00AC10C3">
        <w:rPr>
          <w:rFonts w:ascii="Times New Roman" w:hAnsi="Times New Roman" w:cs="Times New Roman" w:hint="eastAsia"/>
          <w:szCs w:val="21"/>
        </w:rPr>
        <w:t>the Company</w:t>
      </w:r>
      <w:r w:rsidRPr="00FC265B">
        <w:rPr>
          <w:rFonts w:ascii="Times New Roman" w:hAnsi="Times New Roman" w:cs="Times New Roman"/>
          <w:szCs w:val="21"/>
        </w:rPr>
        <w:t xml:space="preserve">accelerated capacity expansion, improved </w:t>
      </w:r>
      <w:r w:rsidRPr="00FC265B">
        <w:rPr>
          <w:rFonts w:ascii="Times New Roman" w:hAnsi="Times New Roman" w:cs="Times New Roman"/>
          <w:szCs w:val="21"/>
        </w:rPr>
        <w:lastRenderedPageBreak/>
        <w:t xml:space="preserve">capacity utilisation, pursued cost reduction and efficiency enhancement, delivered optimised product portfolios for customers and speeded up response to client requirements. All major </w:t>
      </w:r>
      <w:r w:rsidR="003A7959">
        <w:rPr>
          <w:rFonts w:ascii="Times New Roman" w:hAnsi="Times New Roman" w:cs="Times New Roman"/>
          <w:szCs w:val="21"/>
        </w:rPr>
        <w:t>products</w:t>
      </w:r>
      <w:r w:rsidRPr="00FC265B">
        <w:rPr>
          <w:rFonts w:ascii="Times New Roman" w:hAnsi="Times New Roman" w:cs="Times New Roman"/>
          <w:szCs w:val="21"/>
        </w:rPr>
        <w:t xml:space="preserve"> </w:t>
      </w:r>
      <w:r w:rsidR="003A7959">
        <w:rPr>
          <w:rFonts w:ascii="Times New Roman" w:hAnsi="Times New Roman" w:cs="Times New Roman"/>
          <w:szCs w:val="21"/>
        </w:rPr>
        <w:t xml:space="preserve">have </w:t>
      </w:r>
      <w:r w:rsidRPr="00FC265B">
        <w:rPr>
          <w:rFonts w:ascii="Times New Roman" w:hAnsi="Times New Roman" w:cs="Times New Roman"/>
          <w:szCs w:val="21"/>
        </w:rPr>
        <w:t xml:space="preserve">achieved shipment growth with steady improvement in profitability. For the reporting period, PTL recorded </w:t>
      </w:r>
      <w:r w:rsidR="003A7959">
        <w:rPr>
          <w:rFonts w:ascii="Times New Roman" w:hAnsi="Times New Roman" w:cs="Times New Roman"/>
          <w:szCs w:val="21"/>
        </w:rPr>
        <w:t>r</w:t>
      </w:r>
      <w:r w:rsidRPr="00FC265B">
        <w:rPr>
          <w:rFonts w:ascii="Times New Roman" w:hAnsi="Times New Roman" w:cs="Times New Roman"/>
          <w:szCs w:val="21"/>
        </w:rPr>
        <w:t>evenue of RMB1</w:t>
      </w:r>
      <w:r>
        <w:rPr>
          <w:rFonts w:ascii="Times New Roman" w:hAnsi="Times New Roman" w:cs="Times New Roman"/>
          <w:szCs w:val="21"/>
        </w:rPr>
        <w:t>0.12</w:t>
      </w:r>
      <w:r w:rsidRPr="00FC265B">
        <w:rPr>
          <w:rFonts w:ascii="Times New Roman" w:hAnsi="Times New Roman" w:cs="Times New Roman"/>
          <w:szCs w:val="21"/>
        </w:rPr>
        <w:t xml:space="preserve"> billion, representing a year‑on‑year increase of 42.70%, and net profit attributable to </w:t>
      </w:r>
      <w:r>
        <w:rPr>
          <w:rFonts w:ascii="Times New Roman" w:hAnsi="Times New Roman" w:cs="Times New Roman"/>
          <w:szCs w:val="21"/>
        </w:rPr>
        <w:t xml:space="preserve">owners of the </w:t>
      </w:r>
      <w:r w:rsidR="003A7959">
        <w:rPr>
          <w:rFonts w:ascii="Times New Roman" w:hAnsi="Times New Roman" w:cs="Times New Roman"/>
          <w:szCs w:val="21"/>
        </w:rPr>
        <w:t>Company</w:t>
      </w:r>
      <w:r>
        <w:rPr>
          <w:rFonts w:ascii="Times New Roman" w:hAnsi="Times New Roman" w:cs="Times New Roman"/>
          <w:szCs w:val="21"/>
        </w:rPr>
        <w:t xml:space="preserve"> of RMB1.45</w:t>
      </w:r>
      <w:r w:rsidRPr="00FC265B">
        <w:rPr>
          <w:rFonts w:ascii="Times New Roman" w:hAnsi="Times New Roman" w:cs="Times New Roman"/>
          <w:szCs w:val="21"/>
        </w:rPr>
        <w:t xml:space="preserve"> b</w:t>
      </w:r>
      <w:r>
        <w:rPr>
          <w:rFonts w:ascii="Times New Roman" w:hAnsi="Times New Roman" w:cs="Times New Roman"/>
          <w:szCs w:val="21"/>
        </w:rPr>
        <w:t xml:space="preserve">illion, </w:t>
      </w:r>
      <w:r w:rsidR="003A7959">
        <w:rPr>
          <w:rFonts w:ascii="Times New Roman" w:hAnsi="Times New Roman" w:cs="Times New Roman"/>
          <w:szCs w:val="21"/>
        </w:rPr>
        <w:t>representing a</w:t>
      </w:r>
      <w:r>
        <w:rPr>
          <w:rFonts w:ascii="Times New Roman" w:hAnsi="Times New Roman" w:cs="Times New Roman"/>
          <w:szCs w:val="21"/>
        </w:rPr>
        <w:t xml:space="preserve"> </w:t>
      </w:r>
      <w:r w:rsidR="003A7959">
        <w:rPr>
          <w:rFonts w:ascii="Times New Roman" w:hAnsi="Times New Roman" w:cs="Times New Roman"/>
          <w:szCs w:val="21"/>
        </w:rPr>
        <w:t xml:space="preserve">yoy increase of </w:t>
      </w:r>
      <w:r>
        <w:rPr>
          <w:rFonts w:ascii="Times New Roman" w:hAnsi="Times New Roman" w:cs="Times New Roman"/>
          <w:szCs w:val="21"/>
        </w:rPr>
        <w:t>37.58%.</w:t>
      </w:r>
    </w:p>
    <w:p w14:paraId="7D98B0F8" w14:textId="37D3A05F" w:rsidR="00FC265B" w:rsidRPr="00FC265B" w:rsidRDefault="00FC265B" w:rsidP="00FC265B">
      <w:pPr>
        <w:spacing w:line="360" w:lineRule="auto"/>
        <w:ind w:firstLineChars="200" w:firstLine="420"/>
        <w:rPr>
          <w:rFonts w:ascii="Times New Roman" w:hAnsi="Times New Roman" w:cs="Times New Roman"/>
          <w:b/>
          <w:szCs w:val="21"/>
        </w:rPr>
      </w:pPr>
      <w:r w:rsidRPr="00FC265B">
        <w:rPr>
          <w:rFonts w:ascii="Times New Roman" w:hAnsi="Times New Roman" w:cs="Times New Roman"/>
          <w:b/>
          <w:szCs w:val="21"/>
        </w:rPr>
        <w:t xml:space="preserve"> (I) New‑Energy Battery Materials and Services</w:t>
      </w:r>
    </w:p>
    <w:p w14:paraId="2EFC26C4" w14:textId="7C7F3878"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 xml:space="preserve">During the reporting period, revenue generated from </w:t>
      </w:r>
      <w:r w:rsidR="00AC10C3">
        <w:rPr>
          <w:rFonts w:ascii="Times New Roman" w:hAnsi="Times New Roman" w:cs="Times New Roman" w:hint="eastAsia"/>
          <w:szCs w:val="21"/>
        </w:rPr>
        <w:t>the</w:t>
      </w:r>
      <w:r w:rsidR="00AC10C3" w:rsidRPr="00FC265B">
        <w:rPr>
          <w:rFonts w:ascii="Times New Roman" w:hAnsi="Times New Roman" w:cs="Times New Roman"/>
          <w:szCs w:val="21"/>
        </w:rPr>
        <w:t xml:space="preserve"> </w:t>
      </w:r>
      <w:r w:rsidRPr="00FC265B">
        <w:rPr>
          <w:rFonts w:ascii="Times New Roman" w:hAnsi="Times New Roman" w:cs="Times New Roman"/>
          <w:szCs w:val="21"/>
        </w:rPr>
        <w:t>new‑energy battery materials and se</w:t>
      </w:r>
      <w:r>
        <w:rPr>
          <w:rFonts w:ascii="Times New Roman" w:hAnsi="Times New Roman" w:cs="Times New Roman"/>
          <w:szCs w:val="21"/>
        </w:rPr>
        <w:t>rvices business reached RMB7.91</w:t>
      </w:r>
      <w:r w:rsidRPr="00FC265B">
        <w:rPr>
          <w:rFonts w:ascii="Times New Roman" w:hAnsi="Times New Roman" w:cs="Times New Roman"/>
          <w:szCs w:val="21"/>
        </w:rPr>
        <w:t xml:space="preserve"> billion (before intra‑group </w:t>
      </w:r>
      <w:r w:rsidR="003A7959">
        <w:rPr>
          <w:rFonts w:ascii="Times New Roman" w:hAnsi="Times New Roman" w:cs="Times New Roman"/>
          <w:szCs w:val="21"/>
        </w:rPr>
        <w:t xml:space="preserve">transactions </w:t>
      </w:r>
      <w:r w:rsidRPr="00FC265B">
        <w:rPr>
          <w:rFonts w:ascii="Times New Roman" w:hAnsi="Times New Roman" w:cs="Times New Roman"/>
          <w:szCs w:val="21"/>
        </w:rPr>
        <w:t>elimination). Details of each busi</w:t>
      </w:r>
      <w:r>
        <w:rPr>
          <w:rFonts w:ascii="Times New Roman" w:hAnsi="Times New Roman" w:cs="Times New Roman"/>
          <w:szCs w:val="21"/>
        </w:rPr>
        <w:t>ness segment are set out below.</w:t>
      </w:r>
    </w:p>
    <w:p w14:paraId="0667FBF7" w14:textId="7C360B8B" w:rsidR="00FC265B" w:rsidRPr="00FC265B" w:rsidRDefault="00FC265B" w:rsidP="00FC265B">
      <w:pPr>
        <w:spacing w:line="360" w:lineRule="auto"/>
        <w:ind w:firstLineChars="200" w:firstLine="420"/>
        <w:rPr>
          <w:rFonts w:ascii="Times New Roman" w:hAnsi="Times New Roman" w:cs="Times New Roman"/>
          <w:b/>
          <w:szCs w:val="21"/>
        </w:rPr>
      </w:pPr>
      <w:r w:rsidRPr="00FC265B">
        <w:rPr>
          <w:rFonts w:ascii="Times New Roman" w:hAnsi="Times New Roman" w:cs="Times New Roman"/>
          <w:b/>
          <w:szCs w:val="21"/>
        </w:rPr>
        <w:t xml:space="preserve"> 1. Separator Materials and Coating Processing</w:t>
      </w:r>
    </w:p>
    <w:p w14:paraId="6E63CF5F" w14:textId="79C97145" w:rsidR="00FC265B" w:rsidRPr="00FC265B" w:rsidRDefault="00FC265B" w:rsidP="00FC265B">
      <w:pPr>
        <w:spacing w:line="360" w:lineRule="auto"/>
        <w:ind w:firstLineChars="200" w:firstLine="420"/>
        <w:rPr>
          <w:rFonts w:ascii="Times New Roman" w:hAnsi="Times New Roman" w:cs="Times New Roman"/>
          <w:b/>
          <w:szCs w:val="21"/>
        </w:rPr>
      </w:pPr>
      <w:r w:rsidRPr="00FC265B">
        <w:rPr>
          <w:rFonts w:ascii="Times New Roman" w:hAnsi="Times New Roman" w:cs="Times New Roman"/>
          <w:b/>
          <w:szCs w:val="21"/>
        </w:rPr>
        <w:t xml:space="preserve"> (1) Coating Processing</w:t>
      </w:r>
    </w:p>
    <w:p w14:paraId="4A6AE525" w14:textId="638F8A5F"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 xml:space="preserve">In H1 2026, </w:t>
      </w:r>
      <w:r w:rsidR="00AC10C3">
        <w:rPr>
          <w:rFonts w:ascii="Times New Roman" w:hAnsi="Times New Roman" w:cs="Times New Roman" w:hint="eastAsia"/>
          <w:szCs w:val="21"/>
        </w:rPr>
        <w:t xml:space="preserve">the </w:t>
      </w:r>
      <w:r w:rsidRPr="00FC265B">
        <w:rPr>
          <w:rFonts w:ascii="Times New Roman" w:hAnsi="Times New Roman" w:cs="Times New Roman"/>
          <w:szCs w:val="21"/>
        </w:rPr>
        <w:t>coating‑processing volu</w:t>
      </w:r>
      <w:r>
        <w:rPr>
          <w:rFonts w:ascii="Times New Roman" w:hAnsi="Times New Roman" w:cs="Times New Roman"/>
          <w:szCs w:val="21"/>
        </w:rPr>
        <w:t>me (sales volume) totalled 7.95</w:t>
      </w:r>
      <w:r w:rsidRPr="00FC265B">
        <w:rPr>
          <w:rFonts w:ascii="Times New Roman" w:hAnsi="Times New Roman" w:cs="Times New Roman"/>
          <w:szCs w:val="21"/>
        </w:rPr>
        <w:t xml:space="preserve"> billion square metres, </w:t>
      </w:r>
      <w:r w:rsidR="00AC10C3">
        <w:rPr>
          <w:rFonts w:ascii="Times New Roman" w:hAnsi="Times New Roman" w:cs="Times New Roman"/>
          <w:szCs w:val="21"/>
        </w:rPr>
        <w:t>representing</w:t>
      </w:r>
      <w:r w:rsidR="00AC10C3">
        <w:rPr>
          <w:rFonts w:ascii="Times New Roman" w:hAnsi="Times New Roman" w:cs="Times New Roman" w:hint="eastAsia"/>
          <w:szCs w:val="21"/>
        </w:rPr>
        <w:t xml:space="preserve"> a </w:t>
      </w:r>
      <w:r w:rsidRPr="00FC265B">
        <w:rPr>
          <w:rFonts w:ascii="Times New Roman" w:hAnsi="Times New Roman" w:cs="Times New Roman"/>
          <w:szCs w:val="21"/>
        </w:rPr>
        <w:t xml:space="preserve"> </w:t>
      </w:r>
      <w:r w:rsidR="00AC10C3">
        <w:rPr>
          <w:rFonts w:ascii="Times New Roman" w:hAnsi="Times New Roman" w:cs="Times New Roman" w:hint="eastAsia"/>
          <w:szCs w:val="21"/>
        </w:rPr>
        <w:t>yoy</w:t>
      </w:r>
      <w:r w:rsidRPr="00FC265B">
        <w:rPr>
          <w:rFonts w:ascii="Times New Roman" w:hAnsi="Times New Roman" w:cs="Times New Roman"/>
          <w:szCs w:val="21"/>
        </w:rPr>
        <w:t xml:space="preserve"> increase of 66.47%, accounting for approximately 36.45% of global new‑energy‑battery w</w:t>
      </w:r>
      <w:r>
        <w:rPr>
          <w:rFonts w:ascii="Times New Roman" w:hAnsi="Times New Roman" w:cs="Times New Roman"/>
          <w:szCs w:val="21"/>
        </w:rPr>
        <w:t>et‑separator shipments of 21.80</w:t>
      </w:r>
      <w:r w:rsidRPr="00FC265B">
        <w:rPr>
          <w:rFonts w:ascii="Times New Roman" w:hAnsi="Times New Roman" w:cs="Times New Roman"/>
          <w:szCs w:val="21"/>
        </w:rPr>
        <w:t xml:space="preserve"> billion square metres</w:t>
      </w:r>
      <w:r w:rsidR="000F66D7">
        <w:rPr>
          <w:rFonts w:ascii="Times New Roman" w:hAnsi="Times New Roman" w:cs="Times New Roman"/>
          <w:szCs w:val="21"/>
        </w:rPr>
        <w:t>,</w:t>
      </w:r>
      <w:r w:rsidR="000F66D7" w:rsidRPr="00FC265B">
        <w:rPr>
          <w:rFonts w:ascii="Times New Roman" w:hAnsi="Times New Roman" w:cs="Times New Roman"/>
          <w:szCs w:val="21"/>
        </w:rPr>
        <w:t xml:space="preserve"> </w:t>
      </w:r>
      <w:r w:rsidR="000F66D7" w:rsidRPr="000F66D7">
        <w:rPr>
          <w:rFonts w:ascii="Times New Roman" w:hAnsi="Times New Roman" w:cs="Times New Roman"/>
          <w:szCs w:val="21"/>
        </w:rPr>
        <w:t>representing a further breakthrough in market share</w:t>
      </w:r>
      <w:r w:rsidR="000F66D7">
        <w:rPr>
          <w:rFonts w:ascii="Times New Roman" w:hAnsi="Times New Roman" w:cs="Times New Roman"/>
          <w:szCs w:val="21"/>
        </w:rPr>
        <w:t>,</w:t>
      </w:r>
      <w:r w:rsidRPr="00FC265B">
        <w:rPr>
          <w:rFonts w:ascii="Times New Roman" w:hAnsi="Times New Roman" w:cs="Times New Roman"/>
          <w:szCs w:val="21"/>
        </w:rPr>
        <w:t xml:space="preserve"> Benefiting from robust incremental end‑market demand for EVs and ESS as well as rising penetration of wet‑process separators in ESS applications, incremental capacity deliveries were completed on schedule at PTL’s production bases in Ningde (Fujian), Liyang (Jiangsu), Zhaoqing (Guangdong) and Qionglai (Sichuan) in response to customer requirements. Business growth continued to</w:t>
      </w:r>
      <w:r>
        <w:rPr>
          <w:rFonts w:ascii="Times New Roman" w:hAnsi="Times New Roman" w:cs="Times New Roman"/>
          <w:szCs w:val="21"/>
        </w:rPr>
        <w:t xml:space="preserve"> outpace industry growth rates.</w:t>
      </w:r>
    </w:p>
    <w:p w14:paraId="5E1C8CD6" w14:textId="08EDBDBB"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 xml:space="preserve">During the reporting period, </w:t>
      </w:r>
      <w:r w:rsidR="00AC10C3">
        <w:rPr>
          <w:rFonts w:ascii="Times New Roman" w:hAnsi="Times New Roman" w:cs="Times New Roman" w:hint="eastAsia"/>
          <w:szCs w:val="21"/>
        </w:rPr>
        <w:t>the Company</w:t>
      </w:r>
      <w:r w:rsidR="00AC10C3">
        <w:rPr>
          <w:rFonts w:ascii="Times New Roman" w:hAnsi="Times New Roman" w:cs="Times New Roman"/>
          <w:szCs w:val="21"/>
        </w:rPr>
        <w:t>’</w:t>
      </w:r>
      <w:r w:rsidR="00AC10C3">
        <w:rPr>
          <w:rFonts w:ascii="Times New Roman" w:hAnsi="Times New Roman" w:cs="Times New Roman" w:hint="eastAsia"/>
          <w:szCs w:val="21"/>
        </w:rPr>
        <w:t>s</w:t>
      </w:r>
      <w:r w:rsidR="00AC10C3" w:rsidRPr="00FC265B">
        <w:rPr>
          <w:rFonts w:ascii="Times New Roman" w:hAnsi="Times New Roman" w:cs="Times New Roman"/>
          <w:szCs w:val="21"/>
        </w:rPr>
        <w:t xml:space="preserve"> </w:t>
      </w:r>
      <w:r w:rsidRPr="00FC265B">
        <w:rPr>
          <w:rFonts w:ascii="Times New Roman" w:hAnsi="Times New Roman" w:cs="Times New Roman"/>
          <w:szCs w:val="21"/>
        </w:rPr>
        <w:t xml:space="preserve">new coating </w:t>
      </w:r>
      <w:r w:rsidR="000F66D7">
        <w:rPr>
          <w:rFonts w:ascii="Times New Roman" w:hAnsi="Times New Roman" w:cs="Times New Roman"/>
          <w:szCs w:val="21"/>
        </w:rPr>
        <w:t>technique</w:t>
      </w:r>
      <w:r w:rsidRPr="00FC265B">
        <w:rPr>
          <w:rFonts w:ascii="Times New Roman" w:hAnsi="Times New Roman" w:cs="Times New Roman"/>
          <w:szCs w:val="21"/>
        </w:rPr>
        <w:t xml:space="preserve"> </w:t>
      </w:r>
      <w:r w:rsidR="000F66D7">
        <w:rPr>
          <w:rFonts w:ascii="Times New Roman" w:hAnsi="Times New Roman" w:cs="Times New Roman"/>
          <w:szCs w:val="21"/>
        </w:rPr>
        <w:t xml:space="preserve">has </w:t>
      </w:r>
      <w:r w:rsidRPr="00FC265B">
        <w:rPr>
          <w:rFonts w:ascii="Times New Roman" w:hAnsi="Times New Roman" w:cs="Times New Roman"/>
          <w:szCs w:val="21"/>
        </w:rPr>
        <w:t xml:space="preserve">entered </w:t>
      </w:r>
      <w:r w:rsidR="000F66D7">
        <w:rPr>
          <w:rFonts w:ascii="Times New Roman" w:hAnsi="Times New Roman" w:cs="Times New Roman"/>
          <w:szCs w:val="21"/>
        </w:rPr>
        <w:t xml:space="preserve">into </w:t>
      </w:r>
      <w:r w:rsidRPr="00FC265B">
        <w:rPr>
          <w:rFonts w:ascii="Times New Roman" w:hAnsi="Times New Roman" w:cs="Times New Roman"/>
          <w:szCs w:val="21"/>
        </w:rPr>
        <w:t>stable mass‑production</w:t>
      </w:r>
      <w:r w:rsidR="000F66D7">
        <w:rPr>
          <w:rFonts w:ascii="Times New Roman" w:hAnsi="Times New Roman" w:cs="Times New Roman"/>
          <w:szCs w:val="21"/>
        </w:rPr>
        <w:t xml:space="preserve"> stage</w:t>
      </w:r>
      <w:r w:rsidRPr="00FC265B">
        <w:rPr>
          <w:rFonts w:ascii="Times New Roman" w:hAnsi="Times New Roman" w:cs="Times New Roman"/>
          <w:szCs w:val="21"/>
        </w:rPr>
        <w:t xml:space="preserve">, delivering </w:t>
      </w:r>
      <w:r w:rsidR="000F66D7">
        <w:rPr>
          <w:rFonts w:ascii="Times New Roman" w:hAnsi="Times New Roman" w:cs="Times New Roman"/>
          <w:szCs w:val="21"/>
        </w:rPr>
        <w:t xml:space="preserve">advanced </w:t>
      </w:r>
      <w:r w:rsidRPr="00FC265B">
        <w:rPr>
          <w:rFonts w:ascii="Times New Roman" w:hAnsi="Times New Roman" w:cs="Times New Roman"/>
          <w:szCs w:val="21"/>
        </w:rPr>
        <w:t xml:space="preserve">process‑technology and cost‑optimisation solutions for downstream customers. Deployment of automation solutions and AI automatic‑inspection systems for warehousing, material handling and loading/unloading has driven PTL’s gradual transition from automated to intelligent manufacturing. Business scale effects kept emerging. Improved per‑capita production efficiency and shorter production lead‑times sustained relatively stable unit profitability for the coating‑processing business. In H2 2026, </w:t>
      </w:r>
      <w:r w:rsidR="00AC10C3">
        <w:rPr>
          <w:rFonts w:ascii="Times New Roman" w:hAnsi="Times New Roman" w:cs="Times New Roman" w:hint="eastAsia"/>
          <w:szCs w:val="21"/>
        </w:rPr>
        <w:t>the Company</w:t>
      </w:r>
      <w:r w:rsidR="00AC10C3" w:rsidRPr="00FC265B">
        <w:rPr>
          <w:rFonts w:ascii="Times New Roman" w:hAnsi="Times New Roman" w:cs="Times New Roman"/>
          <w:szCs w:val="21"/>
        </w:rPr>
        <w:t xml:space="preserve"> </w:t>
      </w:r>
      <w:r w:rsidRPr="00FC265B">
        <w:rPr>
          <w:rFonts w:ascii="Times New Roman" w:hAnsi="Times New Roman" w:cs="Times New Roman"/>
          <w:szCs w:val="21"/>
        </w:rPr>
        <w:t>will prioritise accelerating base‑film capacity construction to achieve synergistic market‑share growth for both base‑film and</w:t>
      </w:r>
      <w:r>
        <w:rPr>
          <w:rFonts w:ascii="Times New Roman" w:hAnsi="Times New Roman" w:cs="Times New Roman"/>
          <w:szCs w:val="21"/>
        </w:rPr>
        <w:t xml:space="preserve"> coating‑processing operations.</w:t>
      </w:r>
    </w:p>
    <w:p w14:paraId="194D7E66" w14:textId="3A21B0D3" w:rsidR="00FC265B" w:rsidRPr="00FC265B" w:rsidRDefault="00FC265B" w:rsidP="00694D1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 xml:space="preserve">Regarding overseas‑business expansion, </w:t>
      </w:r>
      <w:r w:rsidR="00AC10C3">
        <w:rPr>
          <w:rFonts w:ascii="Times New Roman" w:hAnsi="Times New Roman" w:cs="Times New Roman" w:hint="eastAsia"/>
          <w:szCs w:val="21"/>
        </w:rPr>
        <w:t>the Company</w:t>
      </w:r>
      <w:r w:rsidRPr="00FC265B">
        <w:rPr>
          <w:rFonts w:ascii="Times New Roman" w:hAnsi="Times New Roman" w:cs="Times New Roman"/>
          <w:szCs w:val="21"/>
        </w:rPr>
        <w:t xml:space="preserve"> </w:t>
      </w:r>
      <w:r w:rsidR="00272306">
        <w:rPr>
          <w:rFonts w:ascii="Times New Roman" w:hAnsi="Times New Roman" w:cs="Times New Roman"/>
          <w:szCs w:val="21"/>
        </w:rPr>
        <w:t>made</w:t>
      </w:r>
      <w:r w:rsidR="00272306" w:rsidRPr="00FC265B">
        <w:rPr>
          <w:rFonts w:ascii="Times New Roman" w:hAnsi="Times New Roman" w:cs="Times New Roman"/>
          <w:szCs w:val="21"/>
        </w:rPr>
        <w:t xml:space="preserve"> </w:t>
      </w:r>
      <w:r w:rsidRPr="00FC265B">
        <w:rPr>
          <w:rFonts w:ascii="Times New Roman" w:hAnsi="Times New Roman" w:cs="Times New Roman"/>
          <w:szCs w:val="21"/>
        </w:rPr>
        <w:t xml:space="preserve">breakthroughs </w:t>
      </w:r>
      <w:r w:rsidR="00272306">
        <w:rPr>
          <w:rFonts w:ascii="Times New Roman" w:hAnsi="Times New Roman" w:cs="Times New Roman"/>
          <w:szCs w:val="21"/>
        </w:rPr>
        <w:t>in obtaining</w:t>
      </w:r>
      <w:r w:rsidRPr="00FC265B">
        <w:rPr>
          <w:rFonts w:ascii="Times New Roman" w:hAnsi="Times New Roman" w:cs="Times New Roman"/>
          <w:szCs w:val="21"/>
        </w:rPr>
        <w:t xml:space="preserve"> </w:t>
      </w:r>
      <w:r w:rsidRPr="00FC265B">
        <w:rPr>
          <w:rFonts w:ascii="Times New Roman" w:hAnsi="Times New Roman" w:cs="Times New Roman"/>
          <w:szCs w:val="21"/>
        </w:rPr>
        <w:lastRenderedPageBreak/>
        <w:t xml:space="preserve">overseas customers. Sales to clients in Southeast Asia and Europe grew materially during the reporting period, laying solid technical and customer foundations for </w:t>
      </w:r>
      <w:r w:rsidR="00AC10C3">
        <w:rPr>
          <w:rFonts w:ascii="Times New Roman" w:hAnsi="Times New Roman" w:cs="Times New Roman" w:hint="eastAsia"/>
          <w:szCs w:val="21"/>
        </w:rPr>
        <w:t>its</w:t>
      </w:r>
      <w:r w:rsidRPr="00FC265B">
        <w:rPr>
          <w:rFonts w:ascii="Times New Roman" w:hAnsi="Times New Roman" w:cs="Times New Roman"/>
          <w:szCs w:val="21"/>
        </w:rPr>
        <w:t xml:space="preserve"> f</w:t>
      </w:r>
      <w:r w:rsidR="00694D1B">
        <w:rPr>
          <w:rFonts w:ascii="Times New Roman" w:hAnsi="Times New Roman" w:cs="Times New Roman"/>
          <w:szCs w:val="21"/>
        </w:rPr>
        <w:t xml:space="preserve">uture global‑business </w:t>
      </w:r>
      <w:r w:rsidR="00272306">
        <w:rPr>
          <w:rFonts w:ascii="Times New Roman" w:hAnsi="Times New Roman" w:cs="Times New Roman"/>
          <w:szCs w:val="21"/>
        </w:rPr>
        <w:t>expansion</w:t>
      </w:r>
      <w:r w:rsidR="00694D1B">
        <w:rPr>
          <w:rFonts w:ascii="Times New Roman" w:hAnsi="Times New Roman" w:cs="Times New Roman"/>
          <w:szCs w:val="21"/>
        </w:rPr>
        <w:t>.</w:t>
      </w:r>
    </w:p>
    <w:p w14:paraId="51ED86D9" w14:textId="006E5494" w:rsidR="00FC265B" w:rsidRPr="00FC265B" w:rsidRDefault="00FC265B" w:rsidP="00FC265B">
      <w:pPr>
        <w:spacing w:line="360" w:lineRule="auto"/>
        <w:ind w:firstLineChars="200" w:firstLine="420"/>
        <w:rPr>
          <w:rFonts w:ascii="Times New Roman" w:hAnsi="Times New Roman" w:cs="Times New Roman"/>
          <w:b/>
          <w:szCs w:val="21"/>
        </w:rPr>
      </w:pPr>
      <w:r w:rsidRPr="00FC265B">
        <w:rPr>
          <w:rFonts w:ascii="Times New Roman" w:hAnsi="Times New Roman" w:cs="Times New Roman"/>
          <w:b/>
          <w:szCs w:val="21"/>
        </w:rPr>
        <w:t xml:space="preserve"> (2) Base Films</w:t>
      </w:r>
    </w:p>
    <w:p w14:paraId="600D73A3" w14:textId="1687D490"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 xml:space="preserve">Against a backdrop of sustained robust downstream demand, average capacity‑utilisation rates across the base‑film industry remained elevated. Leveraging late‑mover advantages from self‑developed production lines, </w:t>
      </w:r>
      <w:r w:rsidR="00AC10C3">
        <w:rPr>
          <w:rFonts w:ascii="Times New Roman" w:hAnsi="Times New Roman" w:cs="Times New Roman" w:hint="eastAsia"/>
          <w:szCs w:val="21"/>
        </w:rPr>
        <w:t>the Company</w:t>
      </w:r>
      <w:r w:rsidRPr="00FC265B">
        <w:rPr>
          <w:rFonts w:ascii="Times New Roman" w:hAnsi="Times New Roman" w:cs="Times New Roman"/>
          <w:szCs w:val="21"/>
        </w:rPr>
        <w:t xml:space="preserve"> recor</w:t>
      </w:r>
      <w:r>
        <w:rPr>
          <w:rFonts w:ascii="Times New Roman" w:hAnsi="Times New Roman" w:cs="Times New Roman"/>
          <w:szCs w:val="21"/>
        </w:rPr>
        <w:t>ded base‑film shipments of 1.03</w:t>
      </w:r>
      <w:r w:rsidRPr="00FC265B">
        <w:rPr>
          <w:rFonts w:ascii="Times New Roman" w:hAnsi="Times New Roman" w:cs="Times New Roman"/>
          <w:szCs w:val="21"/>
        </w:rPr>
        <w:t xml:space="preserve"> billion square metres in the reporting period, </w:t>
      </w:r>
      <w:r w:rsidR="00272306">
        <w:rPr>
          <w:rFonts w:ascii="Times New Roman" w:hAnsi="Times New Roman" w:cs="Times New Roman"/>
          <w:szCs w:val="21"/>
        </w:rPr>
        <w:t>increased</w:t>
      </w:r>
      <w:r w:rsidRPr="00FC265B">
        <w:rPr>
          <w:rFonts w:ascii="Times New Roman" w:hAnsi="Times New Roman" w:cs="Times New Roman"/>
          <w:szCs w:val="21"/>
        </w:rPr>
        <w:t xml:space="preserve"> 94.69% </w:t>
      </w:r>
      <w:r w:rsidR="00272306">
        <w:rPr>
          <w:rFonts w:ascii="Times New Roman" w:hAnsi="Times New Roman" w:cs="Times New Roman"/>
          <w:szCs w:val="21"/>
        </w:rPr>
        <w:t>comparing to the same period of last year</w:t>
      </w:r>
      <w:r w:rsidRPr="00FC265B">
        <w:rPr>
          <w:rFonts w:ascii="Times New Roman" w:hAnsi="Times New Roman" w:cs="Times New Roman"/>
          <w:szCs w:val="21"/>
        </w:rPr>
        <w:t>. Benefiting from PTL’s rare in‑house equipment supply capability and long‑term iteration expertise for base‑film manufacturing equipment, and to address insufficient self‑supply of base films, PTL has launched and pressed ahead with two projects supported by customers: a 2.0‑billion‑square‑metre‑per‑annum integrated base‑film‑and‑coating project and a 7.2‑billion‑square‑metre‑per‑annum b</w:t>
      </w:r>
      <w:r>
        <w:rPr>
          <w:rFonts w:ascii="Times New Roman" w:hAnsi="Times New Roman" w:cs="Times New Roman"/>
          <w:szCs w:val="21"/>
        </w:rPr>
        <w:t>ase‑film capacity project at</w:t>
      </w:r>
      <w:r w:rsidRPr="00FC265B">
        <w:rPr>
          <w:rFonts w:ascii="Times New Roman" w:hAnsi="Times New Roman" w:cs="Times New Roman"/>
          <w:szCs w:val="21"/>
        </w:rPr>
        <w:t xml:space="preserve"> Sichuan production base. As at present, the 2.0‑billion‑square‑metre integrated base‑film‑and‑coating project is under equipment installation, while the 7.2‑billion‑square‑metre base‑film project is in the construction phase. PTL expects to add 2.0 billion, 3.2 billion and 4.0 billion square metres of new base‑film capacity in end‑2026, end‑2027 and Q1 2028 respectively. PTL’s base‑film self‑supply ratio will gradual</w:t>
      </w:r>
      <w:r>
        <w:rPr>
          <w:rFonts w:ascii="Times New Roman" w:hAnsi="Times New Roman" w:cs="Times New Roman"/>
          <w:szCs w:val="21"/>
        </w:rPr>
        <w:t>ly rise, targeting 30% by 2028.</w:t>
      </w:r>
    </w:p>
    <w:p w14:paraId="28D01BC6" w14:textId="605CFBE8"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During the reporting period, amid overall tight separator‑market supply and limited incremental industry capacity, PTL implemented moderate price increases for selected downstream customers to offset rising raw‑material costs, keeping average unit profitability of base‑</w:t>
      </w:r>
      <w:r>
        <w:rPr>
          <w:rFonts w:ascii="Times New Roman" w:hAnsi="Times New Roman" w:cs="Times New Roman"/>
          <w:szCs w:val="21"/>
        </w:rPr>
        <w:t>film products generally stable.</w:t>
      </w:r>
    </w:p>
    <w:p w14:paraId="19760BDE" w14:textId="35D6A18E"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In terms of new‑product development, certification work for PTL’s 5 μm high‑strength base‑film products with downstream battery customers is being accelerated, with small‑batch shipments realised. R&amp;D for other new products is also advancing at pace. PTL will fully cater to differentiated product requirements of downstream customers across diverse scenarios, delivering product‑and‑business innovation together with enhanced value contri</w:t>
      </w:r>
      <w:r>
        <w:rPr>
          <w:rFonts w:ascii="Times New Roman" w:hAnsi="Times New Roman" w:cs="Times New Roman"/>
          <w:szCs w:val="21"/>
        </w:rPr>
        <w:t>bution and customer stickiness.</w:t>
      </w:r>
    </w:p>
    <w:p w14:paraId="288FFF36" w14:textId="20640CF6"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 xml:space="preserve"> (3) Current Collectors a</w:t>
      </w:r>
      <w:r>
        <w:rPr>
          <w:rFonts w:ascii="Times New Roman" w:hAnsi="Times New Roman" w:cs="Times New Roman"/>
          <w:szCs w:val="21"/>
        </w:rPr>
        <w:t>nd Composite Current Collectors</w:t>
      </w:r>
    </w:p>
    <w:p w14:paraId="71ECD68F" w14:textId="1BFDB6D7" w:rsidR="00FC265B" w:rsidRPr="00FC265B" w:rsidRDefault="00FC265B" w:rsidP="00694D1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 xml:space="preserve">For composite copper foils, PTL has completed product development. While meeting conventional battery kinetic and electrochemical‑performance requirements, PTL has achieved 4C </w:t>
      </w:r>
      <w:r w:rsidRPr="00FC265B">
        <w:rPr>
          <w:rFonts w:ascii="Times New Roman" w:hAnsi="Times New Roman" w:cs="Times New Roman"/>
          <w:szCs w:val="21"/>
        </w:rPr>
        <w:lastRenderedPageBreak/>
        <w:t xml:space="preserve">fast‑charging capability, </w:t>
      </w:r>
      <w:r w:rsidR="000D5FE4">
        <w:rPr>
          <w:rFonts w:ascii="Times New Roman" w:hAnsi="Times New Roman" w:cs="Times New Roman"/>
          <w:szCs w:val="21"/>
        </w:rPr>
        <w:t>with</w:t>
      </w:r>
      <w:r w:rsidRPr="00FC265B">
        <w:rPr>
          <w:rFonts w:ascii="Times New Roman" w:hAnsi="Times New Roman" w:cs="Times New Roman"/>
          <w:szCs w:val="21"/>
        </w:rPr>
        <w:t xml:space="preserve"> </w:t>
      </w:r>
      <w:r w:rsidR="000D5FE4">
        <w:rPr>
          <w:rFonts w:ascii="Times New Roman" w:hAnsi="Times New Roman" w:cs="Times New Roman"/>
          <w:szCs w:val="21"/>
        </w:rPr>
        <w:t xml:space="preserve">a </w:t>
      </w:r>
      <w:r w:rsidRPr="00FC265B">
        <w:rPr>
          <w:rFonts w:ascii="Times New Roman" w:hAnsi="Times New Roman" w:cs="Times New Roman"/>
          <w:szCs w:val="21"/>
        </w:rPr>
        <w:t>20% cost</w:t>
      </w:r>
      <w:r w:rsidR="000D5FE4">
        <w:rPr>
          <w:rFonts w:ascii="Times New Roman" w:hAnsi="Times New Roman" w:cs="Times New Roman"/>
          <w:szCs w:val="21"/>
        </w:rPr>
        <w:t xml:space="preserve"> reduction</w:t>
      </w:r>
      <w:r w:rsidR="000D5FE4" w:rsidRPr="000D5FE4">
        <w:rPr>
          <w:rFonts w:ascii="Times New Roman" w:hAnsi="Times New Roman" w:cs="Times New Roman"/>
          <w:szCs w:val="21"/>
        </w:rPr>
        <w:t xml:space="preserve"> </w:t>
      </w:r>
      <w:r w:rsidR="000D5FE4">
        <w:rPr>
          <w:rFonts w:ascii="Times New Roman" w:hAnsi="Times New Roman" w:cs="Times New Roman"/>
          <w:szCs w:val="21"/>
        </w:rPr>
        <w:t xml:space="preserve">and an </w:t>
      </w:r>
      <w:r w:rsidR="000D5FE4" w:rsidRPr="00FC265B">
        <w:rPr>
          <w:rFonts w:ascii="Times New Roman" w:hAnsi="Times New Roman" w:cs="Times New Roman"/>
          <w:szCs w:val="21"/>
        </w:rPr>
        <w:t>over 50% weight reduction</w:t>
      </w:r>
      <w:r w:rsidR="000D5FE4" w:rsidRPr="00FC265B" w:rsidDel="000D5FE4">
        <w:rPr>
          <w:rFonts w:ascii="Times New Roman" w:hAnsi="Times New Roman" w:cs="Times New Roman"/>
          <w:szCs w:val="21"/>
        </w:rPr>
        <w:t xml:space="preserve"> </w:t>
      </w:r>
      <w:r w:rsidR="000D5FE4">
        <w:rPr>
          <w:rFonts w:ascii="Times New Roman" w:hAnsi="Times New Roman" w:cs="Times New Roman"/>
          <w:szCs w:val="21"/>
        </w:rPr>
        <w:t>compared to traditional copper foil</w:t>
      </w:r>
      <w:r w:rsidRPr="00FC265B">
        <w:rPr>
          <w:rFonts w:ascii="Times New Roman" w:hAnsi="Times New Roman" w:cs="Times New Roman"/>
          <w:szCs w:val="21"/>
        </w:rPr>
        <w:t>. Meanwhile, PTL continues to iterate process‑technology routes to help downstream customers resolve cost‑efficiency challenges. For composite aluminium foils, PTL adopts parallel development of multiple process routes, actively supporting downstream customers in testing and application of composite‑</w:t>
      </w:r>
      <w:r w:rsidR="000D5FE4" w:rsidRPr="00FC265B">
        <w:rPr>
          <w:rFonts w:ascii="Times New Roman" w:hAnsi="Times New Roman" w:cs="Times New Roman"/>
          <w:szCs w:val="21"/>
        </w:rPr>
        <w:t>aluminum</w:t>
      </w:r>
      <w:r w:rsidRPr="00FC265B">
        <w:rPr>
          <w:rFonts w:ascii="Times New Roman" w:hAnsi="Times New Roman" w:cs="Times New Roman"/>
          <w:szCs w:val="21"/>
        </w:rPr>
        <w:t>‑foil products to satisfy new requirements for flame retardancy, aluminium‑layer reliability and other performance me</w:t>
      </w:r>
      <w:r w:rsidR="00694D1B">
        <w:rPr>
          <w:rFonts w:ascii="Times New Roman" w:hAnsi="Times New Roman" w:cs="Times New Roman"/>
          <w:szCs w:val="21"/>
        </w:rPr>
        <w:t>trics across diverse scenarios.</w:t>
      </w:r>
    </w:p>
    <w:p w14:paraId="08D7F18F" w14:textId="19F1A9DF" w:rsidR="00FC265B" w:rsidRPr="00FC265B" w:rsidRDefault="00FC265B" w:rsidP="00FC265B">
      <w:pPr>
        <w:spacing w:line="360" w:lineRule="auto"/>
        <w:ind w:firstLineChars="200" w:firstLine="420"/>
        <w:rPr>
          <w:rFonts w:ascii="Times New Roman" w:hAnsi="Times New Roman" w:cs="Times New Roman"/>
          <w:b/>
          <w:szCs w:val="21"/>
        </w:rPr>
      </w:pPr>
      <w:r w:rsidRPr="00FC265B">
        <w:rPr>
          <w:rFonts w:ascii="Times New Roman" w:hAnsi="Times New Roman" w:cs="Times New Roman"/>
          <w:b/>
          <w:szCs w:val="21"/>
        </w:rPr>
        <w:t xml:space="preserve"> 2. Anode Materials</w:t>
      </w:r>
    </w:p>
    <w:p w14:paraId="33F3C801" w14:textId="5CCE1B2E"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In H1 2026, sustained robust downstream demand and tight supply within the anode‑material industry pushed PTL’s anode‑business order volume to an all‑time high. PTL’s production bases in Jiangxi, Shandong, Inner Mongolia and Liyang operated at full capacity and delivered major sales increments. Capacity‑utilisation rates for Phase‑I of the 100 kt‑per‑annum anode project at Zichen (Sichuan) have trended upward with smooth capacity ramp‑up progress. During the reporting period, PTL’s anode‑material sales volume reached 95.2 kt, a y</w:t>
      </w:r>
      <w:r>
        <w:rPr>
          <w:rFonts w:ascii="Times New Roman" w:hAnsi="Times New Roman" w:cs="Times New Roman"/>
          <w:szCs w:val="21"/>
        </w:rPr>
        <w:t>ear‑on‑year increase of 37.45%.</w:t>
      </w:r>
    </w:p>
    <w:p w14:paraId="5950CAE6" w14:textId="0CF943C0"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In Q1 2026, process optimisation, graphitisation technical retrofits, power‑supply‑curve refinement and successful commercialisation of new products enabled sound cost control and reasonable profitability for PTL. Nevertheless, driven by rising global crude‑oil and shipping prices, raw‑material costs for needle coke and petroleum coke kept climbing. Coupled with capacity‑ramp‑up phases at Zichen (Sichuan), PTL faced certain challenges in anode‑material cost control in Q2. Starting from June, PTL mitigated raw‑material cost shocks together with downstream customers via product‑price increases and pricing‑mechanism adjustments. Profitability of the anode‑material business has gradually improved alongside rising capacity‑utilisa</w:t>
      </w:r>
      <w:r>
        <w:rPr>
          <w:rFonts w:ascii="Times New Roman" w:hAnsi="Times New Roman" w:cs="Times New Roman"/>
          <w:szCs w:val="21"/>
        </w:rPr>
        <w:t>tion rates at Zichen (Sichuan).</w:t>
      </w:r>
    </w:p>
    <w:p w14:paraId="7E55CAAD" w14:textId="538C7ADE" w:rsidR="00FC265B" w:rsidRPr="00FC265B" w:rsidRDefault="00FC265B" w:rsidP="00694D1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For long‑term cost optimisation, newly‑built production capacities incorporate large‑chamber furnaces, innovative graphitisation charging methodologies and temperature‑control technologies in graphitisation processes, substantially lifting per‑unit graphitisation output and materially reducing unit capital expenditure. Adoption of new‑process routes and novel continuous‑type equipment is expected to deliver notable cost controls for granulation, carbonisati</w:t>
      </w:r>
      <w:r w:rsidR="00694D1B">
        <w:rPr>
          <w:rFonts w:ascii="Times New Roman" w:hAnsi="Times New Roman" w:cs="Times New Roman"/>
          <w:szCs w:val="21"/>
        </w:rPr>
        <w:t>on and other production stages.</w:t>
      </w:r>
    </w:p>
    <w:p w14:paraId="7D9F0EE0" w14:textId="51A8D8B1" w:rsidR="00FC265B" w:rsidRPr="00FC265B" w:rsidRDefault="00FC265B" w:rsidP="00FC265B">
      <w:pPr>
        <w:spacing w:line="360" w:lineRule="auto"/>
        <w:ind w:firstLineChars="200" w:firstLine="420"/>
        <w:rPr>
          <w:rFonts w:ascii="Times New Roman" w:hAnsi="Times New Roman" w:cs="Times New Roman"/>
          <w:b/>
          <w:szCs w:val="21"/>
        </w:rPr>
      </w:pPr>
      <w:r w:rsidRPr="00FC265B">
        <w:rPr>
          <w:rFonts w:ascii="Times New Roman" w:hAnsi="Times New Roman" w:cs="Times New Roman"/>
          <w:b/>
          <w:szCs w:val="21"/>
        </w:rPr>
        <w:t xml:space="preserve"> 3. Functional Materials</w:t>
      </w:r>
    </w:p>
    <w:p w14:paraId="66AEC05E" w14:textId="558DE421" w:rsidR="00FC265B" w:rsidRPr="00FC265B" w:rsidRDefault="00FC265B" w:rsidP="00FC265B">
      <w:pPr>
        <w:spacing w:line="360" w:lineRule="auto"/>
        <w:ind w:firstLineChars="200" w:firstLine="420"/>
        <w:rPr>
          <w:rFonts w:ascii="Times New Roman" w:hAnsi="Times New Roman" w:cs="Times New Roman"/>
          <w:b/>
          <w:szCs w:val="21"/>
        </w:rPr>
      </w:pPr>
      <w:r>
        <w:rPr>
          <w:rFonts w:ascii="Times New Roman" w:hAnsi="Times New Roman" w:cs="Times New Roman"/>
          <w:b/>
          <w:szCs w:val="21"/>
        </w:rPr>
        <w:lastRenderedPageBreak/>
        <w:t xml:space="preserve"> (1) PVDF</w:t>
      </w:r>
    </w:p>
    <w:p w14:paraId="5B63B54A" w14:textId="1822B689" w:rsidR="00FC265B" w:rsidRPr="00FC265B" w:rsidRDefault="00AB4CDB" w:rsidP="00FC265B">
      <w:pPr>
        <w:spacing w:line="360" w:lineRule="auto"/>
        <w:ind w:firstLineChars="200" w:firstLine="420"/>
        <w:rPr>
          <w:rFonts w:ascii="Times New Roman" w:hAnsi="Times New Roman" w:cs="Times New Roman"/>
          <w:szCs w:val="21"/>
        </w:rPr>
      </w:pPr>
      <w:r>
        <w:rPr>
          <w:rFonts w:ascii="Times New Roman" w:hAnsi="Times New Roman" w:cs="Times New Roman"/>
          <w:szCs w:val="21"/>
        </w:rPr>
        <w:t>The overall s</w:t>
      </w:r>
      <w:r w:rsidR="00FC265B" w:rsidRPr="00FC265B">
        <w:rPr>
          <w:rFonts w:ascii="Times New Roman" w:hAnsi="Times New Roman" w:cs="Times New Roman"/>
          <w:szCs w:val="21"/>
        </w:rPr>
        <w:t xml:space="preserve">upply across the PVDF industry remained persistently tight in H1 2026. To satisfy strong downstream customer demand, PTL </w:t>
      </w:r>
      <w:r>
        <w:rPr>
          <w:rFonts w:ascii="Times New Roman" w:hAnsi="Times New Roman" w:cs="Times New Roman"/>
          <w:szCs w:val="21"/>
        </w:rPr>
        <w:t>increased</w:t>
      </w:r>
      <w:r w:rsidRPr="00FC265B">
        <w:rPr>
          <w:rFonts w:ascii="Times New Roman" w:hAnsi="Times New Roman" w:cs="Times New Roman"/>
          <w:szCs w:val="21"/>
        </w:rPr>
        <w:t xml:space="preserve"> </w:t>
      </w:r>
      <w:r w:rsidR="00FC265B" w:rsidRPr="00FC265B">
        <w:rPr>
          <w:rFonts w:ascii="Times New Roman" w:hAnsi="Times New Roman" w:cs="Times New Roman"/>
          <w:szCs w:val="21"/>
        </w:rPr>
        <w:t>lithium‑battery‑grade PVDF shipments to 26.7 </w:t>
      </w:r>
      <w:r>
        <w:rPr>
          <w:rFonts w:ascii="Times New Roman" w:hAnsi="Times New Roman" w:cs="Times New Roman"/>
          <w:szCs w:val="21"/>
        </w:rPr>
        <w:t>thousand tones</w:t>
      </w:r>
      <w:r w:rsidR="00FC265B" w:rsidRPr="00FC265B">
        <w:rPr>
          <w:rFonts w:ascii="Times New Roman" w:hAnsi="Times New Roman" w:cs="Times New Roman"/>
          <w:szCs w:val="21"/>
        </w:rPr>
        <w:t xml:space="preserve"> (excluding fluorochemical compounds) via </w:t>
      </w:r>
      <w:r>
        <w:rPr>
          <w:rFonts w:ascii="Times New Roman" w:hAnsi="Times New Roman" w:cs="Times New Roman"/>
          <w:szCs w:val="21"/>
        </w:rPr>
        <w:t xml:space="preserve">improving </w:t>
      </w:r>
      <w:r w:rsidR="00FC265B" w:rsidRPr="00FC265B">
        <w:rPr>
          <w:rFonts w:ascii="Times New Roman" w:hAnsi="Times New Roman" w:cs="Times New Roman"/>
          <w:szCs w:val="21"/>
        </w:rPr>
        <w:t xml:space="preserve">capacity‑utilisation rates and collaborative manufacturing arrangements, representing a year‑on‑year increase of 90.22%, outpacing average industry growth rates. Meanwhile, PTL is expanding capacity through accelerated technical retrofits and new‑project construction to further </w:t>
      </w:r>
      <w:r w:rsidR="007B5AD1">
        <w:rPr>
          <w:rFonts w:ascii="Times New Roman" w:hAnsi="Times New Roman" w:cs="Times New Roman"/>
          <w:szCs w:val="21"/>
        </w:rPr>
        <w:t>increase</w:t>
      </w:r>
      <w:r w:rsidR="00FC265B">
        <w:rPr>
          <w:rFonts w:ascii="Times New Roman" w:hAnsi="Times New Roman" w:cs="Times New Roman"/>
          <w:szCs w:val="21"/>
        </w:rPr>
        <w:t xml:space="preserve"> market share going forward.</w:t>
      </w:r>
    </w:p>
    <w:p w14:paraId="6BB21D5D" w14:textId="75D6A81A"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During the reporting period, higher R152a (PVDF feedstock) prices and incremental unit costs attributable to third‑party collaborative manufacturing lifted per‑ton production costs for PVDF. Nevertheless, supported by price increases for PVDF in selected niche segments, overall profit growth for PTL’s</w:t>
      </w:r>
      <w:r>
        <w:rPr>
          <w:rFonts w:ascii="Times New Roman" w:hAnsi="Times New Roman" w:cs="Times New Roman"/>
          <w:szCs w:val="21"/>
        </w:rPr>
        <w:t xml:space="preserve"> PVDF business remaine</w:t>
      </w:r>
      <w:r w:rsidR="00077124">
        <w:rPr>
          <w:rFonts w:ascii="Times New Roman" w:hAnsi="Times New Roman" w:cs="Times New Roman" w:hint="eastAsia"/>
          <w:szCs w:val="21"/>
        </w:rPr>
        <w:t xml:space="preserve"> </w:t>
      </w:r>
      <w:r>
        <w:rPr>
          <w:rFonts w:ascii="Times New Roman" w:hAnsi="Times New Roman" w:cs="Times New Roman"/>
          <w:szCs w:val="21"/>
        </w:rPr>
        <w:t>d robust.</w:t>
      </w:r>
    </w:p>
    <w:p w14:paraId="248675EF" w14:textId="6CCC07BA" w:rsidR="00FC265B" w:rsidRPr="00FC265B" w:rsidRDefault="00FC265B" w:rsidP="00694D1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 xml:space="preserve">In new‑product development, </w:t>
      </w:r>
      <w:r w:rsidR="00E6056C">
        <w:rPr>
          <w:rFonts w:ascii="Times New Roman" w:hAnsi="Times New Roman" w:cs="Times New Roman" w:hint="eastAsia"/>
          <w:szCs w:val="21"/>
        </w:rPr>
        <w:t>the Company</w:t>
      </w:r>
      <w:r w:rsidR="00E6056C" w:rsidRPr="00FC265B">
        <w:rPr>
          <w:rFonts w:ascii="Times New Roman" w:hAnsi="Times New Roman" w:cs="Times New Roman"/>
          <w:szCs w:val="21"/>
        </w:rPr>
        <w:t xml:space="preserve"> </w:t>
      </w:r>
      <w:r w:rsidRPr="00FC265B">
        <w:rPr>
          <w:rFonts w:ascii="Times New Roman" w:hAnsi="Times New Roman" w:cs="Times New Roman"/>
          <w:szCs w:val="21"/>
        </w:rPr>
        <w:t xml:space="preserve">is accelerating R&amp;D of high‑adhesion PVDF grades tailored for downstream high‑compaction‑density systems. Such products are expected to meet customer requirements for binding strength and slurry stability while lowering per‑unit consumption and delivering innovative solutions. In parallel, </w:t>
      </w:r>
      <w:r w:rsidR="00E6056C">
        <w:rPr>
          <w:rFonts w:ascii="Times New Roman" w:hAnsi="Times New Roman" w:cs="Times New Roman" w:hint="eastAsia"/>
          <w:szCs w:val="21"/>
        </w:rPr>
        <w:t>the Company</w:t>
      </w:r>
      <w:r w:rsidRPr="00FC265B">
        <w:rPr>
          <w:rFonts w:ascii="Times New Roman" w:hAnsi="Times New Roman" w:cs="Times New Roman"/>
          <w:szCs w:val="21"/>
        </w:rPr>
        <w:t xml:space="preserve">, together with its associated company Sichuan </w:t>
      </w:r>
      <w:r w:rsidR="007B5AD1">
        <w:rPr>
          <w:rFonts w:ascii="Times New Roman" w:hAnsi="Times New Roman" w:cs="Times New Roman"/>
          <w:szCs w:val="21"/>
        </w:rPr>
        <w:t>Indigo</w:t>
      </w:r>
      <w:r w:rsidRPr="00FC265B">
        <w:rPr>
          <w:rFonts w:ascii="Times New Roman" w:hAnsi="Times New Roman" w:cs="Times New Roman"/>
          <w:szCs w:val="21"/>
        </w:rPr>
        <w:t>, has developed new PAA dedicated for coating applications. It features high compatibility with PVDF and can markedly enhance chemical resistan</w:t>
      </w:r>
      <w:r w:rsidR="00694D1B">
        <w:rPr>
          <w:rFonts w:ascii="Times New Roman" w:hAnsi="Times New Roman" w:cs="Times New Roman"/>
          <w:szCs w:val="21"/>
        </w:rPr>
        <w:t>ce and electrolyte wettability.</w:t>
      </w:r>
    </w:p>
    <w:p w14:paraId="6D48C0E0" w14:textId="2DF67C7A"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 xml:space="preserve"> (2) Cer</w:t>
      </w:r>
      <w:r>
        <w:rPr>
          <w:rFonts w:ascii="Times New Roman" w:hAnsi="Times New Roman" w:cs="Times New Roman"/>
          <w:szCs w:val="21"/>
        </w:rPr>
        <w:t>amic‑Coating Materials</w:t>
      </w:r>
    </w:p>
    <w:p w14:paraId="23EC008F" w14:textId="2531B2B8"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Responding to shifts in downstream customer demand for boehmite products, PTL has secured new customer wins in ultra‑thin‑separator coating and electrode‑coating segments while meeting internal</w:t>
      </w:r>
      <w:r>
        <w:rPr>
          <w:rFonts w:ascii="Times New Roman" w:hAnsi="Times New Roman" w:cs="Times New Roman"/>
          <w:szCs w:val="21"/>
        </w:rPr>
        <w:t xml:space="preserve"> coating‑material requirements.</w:t>
      </w:r>
    </w:p>
    <w:p w14:paraId="795031C6" w14:textId="4EDC124C" w:rsidR="00FC265B" w:rsidRPr="00FC265B" w:rsidRDefault="007B5AD1" w:rsidP="00FC265B">
      <w:pPr>
        <w:spacing w:line="360" w:lineRule="auto"/>
        <w:ind w:firstLineChars="200" w:firstLine="420"/>
        <w:rPr>
          <w:rFonts w:ascii="Times New Roman" w:hAnsi="Times New Roman" w:cs="Times New Roman"/>
          <w:szCs w:val="21"/>
        </w:rPr>
      </w:pPr>
      <w:r>
        <w:rPr>
          <w:rFonts w:ascii="Times New Roman" w:hAnsi="Times New Roman" w:cs="Times New Roman"/>
          <w:szCs w:val="21"/>
        </w:rPr>
        <w:t>In terms of</w:t>
      </w:r>
      <w:r w:rsidR="00FC265B" w:rsidRPr="00FC265B">
        <w:rPr>
          <w:rFonts w:ascii="Times New Roman" w:hAnsi="Times New Roman" w:cs="Times New Roman"/>
          <w:szCs w:val="21"/>
        </w:rPr>
        <w:t xml:space="preserve"> cost control, </w:t>
      </w:r>
      <w:r>
        <w:rPr>
          <w:rFonts w:ascii="Times New Roman" w:hAnsi="Times New Roman" w:cs="Times New Roman" w:hint="eastAsia"/>
          <w:szCs w:val="21"/>
        </w:rPr>
        <w:t>t</w:t>
      </w:r>
      <w:r>
        <w:rPr>
          <w:rFonts w:ascii="Times New Roman" w:hAnsi="Times New Roman" w:cs="Times New Roman"/>
          <w:szCs w:val="21"/>
        </w:rPr>
        <w:t xml:space="preserve">he release of </w:t>
      </w:r>
      <w:r w:rsidR="00FC265B" w:rsidRPr="00FC265B">
        <w:rPr>
          <w:rFonts w:ascii="Times New Roman" w:hAnsi="Times New Roman" w:cs="Times New Roman"/>
          <w:szCs w:val="21"/>
        </w:rPr>
        <w:t>incremental capacity has strengthened scale effects, further lowering unit energy and labour costs, with gross‑profit margins for uni</w:t>
      </w:r>
      <w:r w:rsidR="00FC265B">
        <w:rPr>
          <w:rFonts w:ascii="Times New Roman" w:hAnsi="Times New Roman" w:cs="Times New Roman"/>
          <w:szCs w:val="21"/>
        </w:rPr>
        <w:t>t‑products steadily recoverin</w:t>
      </w:r>
      <w:bookmarkStart w:id="7" w:name="_GoBack"/>
      <w:bookmarkEnd w:id="7"/>
      <w:r w:rsidR="00FC265B">
        <w:rPr>
          <w:rFonts w:ascii="Times New Roman" w:hAnsi="Times New Roman" w:cs="Times New Roman"/>
          <w:szCs w:val="21"/>
        </w:rPr>
        <w:t>g.</w:t>
      </w:r>
    </w:p>
    <w:p w14:paraId="5018D7B9" w14:textId="0B004E90" w:rsidR="00FC265B" w:rsidRPr="00FC265B" w:rsidRDefault="00FC265B" w:rsidP="00694D1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 xml:space="preserve">In terms of new products, </w:t>
      </w:r>
      <w:r w:rsidR="00545D17">
        <w:rPr>
          <w:rFonts w:ascii="Times New Roman" w:hAnsi="Times New Roman" w:cs="Times New Roman"/>
          <w:szCs w:val="21"/>
        </w:rPr>
        <w:t xml:space="preserve">our </w:t>
      </w:r>
      <w:r w:rsidRPr="00FC265B">
        <w:rPr>
          <w:rFonts w:ascii="Times New Roman" w:hAnsi="Times New Roman" w:cs="Times New Roman"/>
          <w:szCs w:val="21"/>
        </w:rPr>
        <w:t>breakthroughs in PTL’s ultra‑fine‑alumina new grades are expected to better satisfy downstream product requirements in surface modification, particle‑size distribution and spe</w:t>
      </w:r>
      <w:r w:rsidR="00694D1B">
        <w:rPr>
          <w:rFonts w:ascii="Times New Roman" w:hAnsi="Times New Roman" w:cs="Times New Roman"/>
          <w:szCs w:val="21"/>
        </w:rPr>
        <w:t>cific‑surface‑area performance.</w:t>
      </w:r>
    </w:p>
    <w:p w14:paraId="24C2528A" w14:textId="3720936F" w:rsidR="00FC265B" w:rsidRPr="00FC265B" w:rsidRDefault="00FC265B" w:rsidP="00FC265B">
      <w:pPr>
        <w:spacing w:line="360" w:lineRule="auto"/>
        <w:ind w:firstLineChars="200" w:firstLine="420"/>
        <w:rPr>
          <w:rFonts w:ascii="Times New Roman" w:hAnsi="Times New Roman" w:cs="Times New Roman"/>
          <w:b/>
          <w:szCs w:val="21"/>
        </w:rPr>
      </w:pPr>
      <w:r w:rsidRPr="00FC265B">
        <w:rPr>
          <w:rFonts w:ascii="Times New Roman" w:hAnsi="Times New Roman" w:cs="Times New Roman"/>
          <w:b/>
          <w:szCs w:val="21"/>
        </w:rPr>
        <w:t xml:space="preserve"> (II) New‑Energy Automation Equipment and Services</w:t>
      </w:r>
    </w:p>
    <w:p w14:paraId="6CBB2659" w14:textId="656CEB57"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lastRenderedPageBreak/>
        <w:t xml:space="preserve">During the reporting period, </w:t>
      </w:r>
      <w:r w:rsidR="00545D17">
        <w:rPr>
          <w:rFonts w:ascii="Times New Roman" w:hAnsi="Times New Roman" w:cs="Times New Roman"/>
          <w:szCs w:val="21"/>
        </w:rPr>
        <w:t xml:space="preserve">the sales of </w:t>
      </w:r>
      <w:r w:rsidRPr="00FC265B">
        <w:rPr>
          <w:rFonts w:ascii="Times New Roman" w:hAnsi="Times New Roman" w:cs="Times New Roman"/>
          <w:szCs w:val="21"/>
        </w:rPr>
        <w:t xml:space="preserve">automation‑equipment‑and‑services </w:t>
      </w:r>
      <w:r w:rsidR="00545D17" w:rsidRPr="00FC265B">
        <w:rPr>
          <w:rFonts w:ascii="Times New Roman" w:hAnsi="Times New Roman" w:cs="Times New Roman"/>
          <w:szCs w:val="21"/>
        </w:rPr>
        <w:t>totaled</w:t>
      </w:r>
      <w:r w:rsidRPr="00FC265B">
        <w:rPr>
          <w:rFonts w:ascii="Times New Roman" w:hAnsi="Times New Roman" w:cs="Times New Roman"/>
          <w:szCs w:val="21"/>
        </w:rPr>
        <w:t xml:space="preserve"> approximately RMB2.6 billion (before intra‑group </w:t>
      </w:r>
      <w:r w:rsidR="00545D17">
        <w:rPr>
          <w:rFonts w:ascii="Times New Roman" w:hAnsi="Times New Roman" w:cs="Times New Roman"/>
          <w:szCs w:val="21"/>
        </w:rPr>
        <w:t xml:space="preserve">transaction </w:t>
      </w:r>
      <w:r w:rsidRPr="00FC265B">
        <w:rPr>
          <w:rFonts w:ascii="Times New Roman" w:hAnsi="Times New Roman" w:cs="Times New Roman"/>
          <w:szCs w:val="21"/>
        </w:rPr>
        <w:t xml:space="preserve">elimination), </w:t>
      </w:r>
      <w:r w:rsidR="00545D17">
        <w:rPr>
          <w:rFonts w:ascii="Times New Roman" w:hAnsi="Times New Roman" w:cs="Times New Roman"/>
          <w:szCs w:val="21"/>
        </w:rPr>
        <w:t>increased</w:t>
      </w:r>
      <w:r w:rsidR="00545D17" w:rsidRPr="00FC265B">
        <w:rPr>
          <w:rFonts w:ascii="Times New Roman" w:hAnsi="Times New Roman" w:cs="Times New Roman"/>
          <w:szCs w:val="21"/>
        </w:rPr>
        <w:t xml:space="preserve"> </w:t>
      </w:r>
      <w:r w:rsidRPr="00FC265B">
        <w:rPr>
          <w:rFonts w:ascii="Times New Roman" w:hAnsi="Times New Roman" w:cs="Times New Roman"/>
          <w:szCs w:val="21"/>
        </w:rPr>
        <w:t xml:space="preserve">more than 40% </w:t>
      </w:r>
      <w:r w:rsidR="00545D17">
        <w:rPr>
          <w:rFonts w:ascii="Times New Roman" w:hAnsi="Times New Roman" w:cs="Times New Roman"/>
          <w:szCs w:val="21"/>
        </w:rPr>
        <w:t>comparing to the same period of last year</w:t>
      </w:r>
      <w:r w:rsidRPr="00FC265B">
        <w:rPr>
          <w:rFonts w:ascii="Times New Roman" w:hAnsi="Times New Roman" w:cs="Times New Roman"/>
          <w:szCs w:val="21"/>
        </w:rPr>
        <w:t>.</w:t>
      </w:r>
    </w:p>
    <w:p w14:paraId="3FA39708" w14:textId="12E8E11C"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 xml:space="preserve">Since 2026, </w:t>
      </w:r>
      <w:r w:rsidR="00A129D4">
        <w:rPr>
          <w:rFonts w:ascii="Times New Roman" w:hAnsi="Times New Roman" w:cs="Times New Roman"/>
          <w:szCs w:val="21"/>
        </w:rPr>
        <w:t>benefiting from</w:t>
      </w:r>
      <w:r w:rsidRPr="00FC265B">
        <w:rPr>
          <w:rFonts w:ascii="Times New Roman" w:hAnsi="Times New Roman" w:cs="Times New Roman"/>
          <w:szCs w:val="21"/>
        </w:rPr>
        <w:t xml:space="preserve"> booming global new‑energy‑battery‑market demand and sustained capacity‑expansion requirements from downstream cell manufacturers, </w:t>
      </w:r>
      <w:r w:rsidR="00A129D4">
        <w:rPr>
          <w:rFonts w:ascii="Times New Roman" w:hAnsi="Times New Roman" w:cs="Times New Roman" w:hint="eastAsia"/>
          <w:szCs w:val="21"/>
        </w:rPr>
        <w:t>w</w:t>
      </w:r>
      <w:r w:rsidR="00A129D4">
        <w:rPr>
          <w:rFonts w:ascii="Times New Roman" w:hAnsi="Times New Roman" w:cs="Times New Roman"/>
          <w:szCs w:val="21"/>
        </w:rPr>
        <w:t>e are</w:t>
      </w:r>
      <w:r w:rsidRPr="00FC265B">
        <w:rPr>
          <w:rFonts w:ascii="Times New Roman" w:hAnsi="Times New Roman" w:cs="Times New Roman"/>
          <w:szCs w:val="21"/>
        </w:rPr>
        <w:t xml:space="preserve"> among the few automation‑equipment </w:t>
      </w:r>
      <w:r w:rsidR="00A129D4">
        <w:rPr>
          <w:rFonts w:ascii="Times New Roman" w:hAnsi="Times New Roman" w:cs="Times New Roman"/>
          <w:szCs w:val="21"/>
        </w:rPr>
        <w:t>enterprises</w:t>
      </w:r>
      <w:r w:rsidR="00A129D4" w:rsidRPr="00FC265B">
        <w:rPr>
          <w:rFonts w:ascii="Times New Roman" w:hAnsi="Times New Roman" w:cs="Times New Roman"/>
          <w:szCs w:val="21"/>
        </w:rPr>
        <w:t xml:space="preserve"> </w:t>
      </w:r>
      <w:r w:rsidRPr="00FC265B">
        <w:rPr>
          <w:rFonts w:ascii="Times New Roman" w:hAnsi="Times New Roman" w:cs="Times New Roman"/>
          <w:szCs w:val="21"/>
        </w:rPr>
        <w:t xml:space="preserve">in the industry </w:t>
      </w:r>
      <w:r w:rsidR="00AC10C0">
        <w:rPr>
          <w:rFonts w:ascii="Times New Roman" w:hAnsi="Times New Roman" w:cs="Times New Roman"/>
          <w:szCs w:val="21"/>
        </w:rPr>
        <w:t>and are</w:t>
      </w:r>
      <w:r w:rsidR="00A129D4">
        <w:rPr>
          <w:rFonts w:ascii="Times New Roman" w:hAnsi="Times New Roman" w:cs="Times New Roman"/>
          <w:szCs w:val="21"/>
        </w:rPr>
        <w:t xml:space="preserve"> </w:t>
      </w:r>
      <w:r w:rsidRPr="00FC265B">
        <w:rPr>
          <w:rFonts w:ascii="Times New Roman" w:hAnsi="Times New Roman" w:cs="Times New Roman"/>
          <w:szCs w:val="21"/>
        </w:rPr>
        <w:t xml:space="preserve">capable of delivering full‑turnkey‑line solutions. Total new‑order intake for PTL during the reporting period exceeded RMB4.1 billion (excluding internal orders), representing approximately 100% year‑on‑year growth. As at 30 June 2026, the </w:t>
      </w:r>
      <w:r w:rsidR="00AC10C0">
        <w:rPr>
          <w:rFonts w:ascii="Times New Roman" w:hAnsi="Times New Roman" w:cs="Times New Roman"/>
          <w:szCs w:val="21"/>
        </w:rPr>
        <w:t xml:space="preserve">amount of </w:t>
      </w:r>
      <w:r w:rsidRPr="00FC265B">
        <w:rPr>
          <w:rFonts w:ascii="Times New Roman" w:hAnsi="Times New Roman" w:cs="Times New Roman"/>
          <w:szCs w:val="21"/>
        </w:rPr>
        <w:t>order</w:t>
      </w:r>
      <w:r w:rsidR="00AC10C0">
        <w:rPr>
          <w:rFonts w:ascii="Times New Roman" w:hAnsi="Times New Roman" w:cs="Times New Roman"/>
          <w:szCs w:val="21"/>
        </w:rPr>
        <w:t>s</w:t>
      </w:r>
      <w:r w:rsidRPr="00FC265B">
        <w:rPr>
          <w:rFonts w:ascii="Times New Roman" w:hAnsi="Times New Roman" w:cs="Times New Roman"/>
          <w:szCs w:val="21"/>
        </w:rPr>
        <w:t xml:space="preserve"> </w:t>
      </w:r>
      <w:r w:rsidR="00AC10C0">
        <w:rPr>
          <w:rFonts w:ascii="Times New Roman" w:hAnsi="Times New Roman" w:cs="Times New Roman"/>
          <w:szCs w:val="21"/>
        </w:rPr>
        <w:t>on hand</w:t>
      </w:r>
      <w:r w:rsidRPr="00FC265B">
        <w:rPr>
          <w:rFonts w:ascii="Times New Roman" w:hAnsi="Times New Roman" w:cs="Times New Roman"/>
          <w:szCs w:val="21"/>
        </w:rPr>
        <w:t xml:space="preserve"> for equipment‑related businesses </w:t>
      </w:r>
      <w:r w:rsidR="00AC10C0">
        <w:rPr>
          <w:rFonts w:ascii="Times New Roman" w:hAnsi="Times New Roman" w:cs="Times New Roman"/>
          <w:szCs w:val="21"/>
        </w:rPr>
        <w:t xml:space="preserve">is </w:t>
      </w:r>
      <w:r w:rsidRPr="00FC265B">
        <w:rPr>
          <w:rFonts w:ascii="Times New Roman" w:hAnsi="Times New Roman" w:cs="Times New Roman"/>
          <w:szCs w:val="21"/>
        </w:rPr>
        <w:t xml:space="preserve">approximately RMB8.8 billion (excluding internal orders). Going forward, as </w:t>
      </w:r>
      <w:r w:rsidR="00D816DD">
        <w:rPr>
          <w:rFonts w:ascii="Times New Roman" w:hAnsi="Times New Roman" w:cs="Times New Roman"/>
          <w:szCs w:val="21"/>
        </w:rPr>
        <w:t xml:space="preserve">the </w:t>
      </w:r>
      <w:r w:rsidRPr="00FC265B">
        <w:rPr>
          <w:rFonts w:ascii="Times New Roman" w:hAnsi="Times New Roman" w:cs="Times New Roman"/>
          <w:szCs w:val="21"/>
        </w:rPr>
        <w:t xml:space="preserve">automation‑equipment contracts </w:t>
      </w:r>
      <w:r w:rsidR="00AC10C0">
        <w:rPr>
          <w:rFonts w:ascii="Times New Roman" w:hAnsi="Times New Roman" w:cs="Times New Roman"/>
          <w:szCs w:val="21"/>
        </w:rPr>
        <w:t xml:space="preserve">were </w:t>
      </w:r>
      <w:r w:rsidR="00D816DD">
        <w:rPr>
          <w:rFonts w:ascii="Times New Roman" w:hAnsi="Times New Roman" w:cs="Times New Roman"/>
          <w:szCs w:val="21"/>
        </w:rPr>
        <w:t xml:space="preserve">accomplished </w:t>
      </w:r>
      <w:r w:rsidR="00D816DD" w:rsidRPr="00D816DD">
        <w:rPr>
          <w:rFonts w:ascii="Times New Roman" w:hAnsi="Times New Roman" w:cs="Times New Roman"/>
          <w:szCs w:val="21"/>
        </w:rPr>
        <w:t>gradually</w:t>
      </w:r>
      <w:r w:rsidR="00D816DD">
        <w:rPr>
          <w:rFonts w:ascii="Times New Roman" w:hAnsi="Times New Roman" w:cs="Times New Roman"/>
          <w:szCs w:val="21"/>
        </w:rPr>
        <w:t>,</w:t>
      </w:r>
      <w:r w:rsidRPr="00FC265B">
        <w:rPr>
          <w:rFonts w:ascii="Times New Roman" w:hAnsi="Times New Roman" w:cs="Times New Roman"/>
          <w:szCs w:val="21"/>
        </w:rPr>
        <w:t xml:space="preserve"> such equipment orders will be progressively converted into operating revenue, underpinning sound future growth for the</w:t>
      </w:r>
      <w:r>
        <w:rPr>
          <w:rFonts w:ascii="Times New Roman" w:hAnsi="Times New Roman" w:cs="Times New Roman"/>
          <w:szCs w:val="21"/>
        </w:rPr>
        <w:t xml:space="preserve"> automation‑equipment business.</w:t>
      </w:r>
    </w:p>
    <w:p w14:paraId="6D14EF41" w14:textId="041501C6" w:rsidR="00FC265B" w:rsidRPr="00FC265B" w:rsidRDefault="00D816DD" w:rsidP="00FC265B">
      <w:pPr>
        <w:spacing w:line="360" w:lineRule="auto"/>
        <w:ind w:firstLineChars="200" w:firstLine="420"/>
        <w:rPr>
          <w:rFonts w:ascii="Times New Roman" w:hAnsi="Times New Roman" w:cs="Times New Roman"/>
          <w:szCs w:val="21"/>
        </w:rPr>
      </w:pPr>
      <w:r>
        <w:rPr>
          <w:rFonts w:ascii="Times New Roman" w:hAnsi="Times New Roman" w:cs="Times New Roman"/>
          <w:szCs w:val="21"/>
        </w:rPr>
        <w:t>At present, the sale</w:t>
      </w:r>
      <w:r w:rsidR="00FC265B" w:rsidRPr="00FC265B">
        <w:rPr>
          <w:rFonts w:ascii="Times New Roman" w:hAnsi="Times New Roman" w:cs="Times New Roman"/>
          <w:szCs w:val="21"/>
        </w:rPr>
        <w:t xml:space="preserve"> orders </w:t>
      </w:r>
      <w:r>
        <w:rPr>
          <w:rFonts w:ascii="Times New Roman" w:hAnsi="Times New Roman" w:cs="Times New Roman"/>
          <w:szCs w:val="21"/>
        </w:rPr>
        <w:t>have</w:t>
      </w:r>
      <w:r w:rsidR="00FC265B" w:rsidRPr="00FC265B">
        <w:rPr>
          <w:rFonts w:ascii="Times New Roman" w:hAnsi="Times New Roman" w:cs="Times New Roman"/>
          <w:szCs w:val="21"/>
        </w:rPr>
        <w:t xml:space="preserve"> character</w:t>
      </w:r>
      <w:r>
        <w:rPr>
          <w:rFonts w:ascii="Times New Roman" w:hAnsi="Times New Roman" w:cs="Times New Roman"/>
          <w:szCs w:val="21"/>
        </w:rPr>
        <w:t xml:space="preserve">istics of </w:t>
      </w:r>
      <w:r w:rsidR="00FC265B" w:rsidRPr="00FC265B">
        <w:rPr>
          <w:rFonts w:ascii="Times New Roman" w:hAnsi="Times New Roman" w:cs="Times New Roman"/>
          <w:szCs w:val="21"/>
        </w:rPr>
        <w:t xml:space="preserve">large value and </w:t>
      </w:r>
      <w:r>
        <w:rPr>
          <w:rFonts w:ascii="Times New Roman" w:hAnsi="Times New Roman" w:cs="Times New Roman"/>
          <w:szCs w:val="21"/>
        </w:rPr>
        <w:t>short</w:t>
      </w:r>
      <w:r w:rsidR="00FC265B" w:rsidRPr="00FC265B">
        <w:rPr>
          <w:rFonts w:ascii="Times New Roman" w:hAnsi="Times New Roman" w:cs="Times New Roman"/>
          <w:szCs w:val="21"/>
        </w:rPr>
        <w:t xml:space="preserve"> deliver</w:t>
      </w:r>
      <w:r>
        <w:rPr>
          <w:rFonts w:ascii="Times New Roman" w:hAnsi="Times New Roman" w:cs="Times New Roman"/>
          <w:szCs w:val="21"/>
        </w:rPr>
        <w:t>able period</w:t>
      </w:r>
      <w:r w:rsidR="00FC265B" w:rsidRPr="00FC265B">
        <w:rPr>
          <w:rFonts w:ascii="Times New Roman" w:hAnsi="Times New Roman" w:cs="Times New Roman"/>
          <w:szCs w:val="21"/>
        </w:rPr>
        <w:t xml:space="preserve">, </w:t>
      </w:r>
      <w:r>
        <w:rPr>
          <w:rFonts w:ascii="Times New Roman" w:hAnsi="Times New Roman" w:cs="Times New Roman"/>
          <w:szCs w:val="21"/>
        </w:rPr>
        <w:t xml:space="preserve">which </w:t>
      </w:r>
      <w:r w:rsidR="00FC265B" w:rsidRPr="00FC265B">
        <w:rPr>
          <w:rFonts w:ascii="Times New Roman" w:hAnsi="Times New Roman" w:cs="Times New Roman"/>
          <w:szCs w:val="21"/>
        </w:rPr>
        <w:t>pos</w:t>
      </w:r>
      <w:r>
        <w:rPr>
          <w:rFonts w:ascii="Times New Roman" w:hAnsi="Times New Roman" w:cs="Times New Roman"/>
          <w:szCs w:val="21"/>
        </w:rPr>
        <w:t>es</w:t>
      </w:r>
      <w:r w:rsidR="00FC265B" w:rsidRPr="00FC265B">
        <w:rPr>
          <w:rFonts w:ascii="Times New Roman" w:hAnsi="Times New Roman" w:cs="Times New Roman"/>
          <w:szCs w:val="21"/>
        </w:rPr>
        <w:t xml:space="preserve"> new challenges for PTL’s project‑execution teams. </w:t>
      </w:r>
      <w:r w:rsidR="00E6056C">
        <w:rPr>
          <w:rFonts w:ascii="Times New Roman" w:hAnsi="Times New Roman" w:cs="Times New Roman" w:hint="eastAsia"/>
          <w:szCs w:val="21"/>
        </w:rPr>
        <w:t>The Company</w:t>
      </w:r>
      <w:r w:rsidR="00E6056C" w:rsidRPr="00FC265B">
        <w:rPr>
          <w:rFonts w:ascii="Times New Roman" w:hAnsi="Times New Roman" w:cs="Times New Roman"/>
          <w:szCs w:val="21"/>
        </w:rPr>
        <w:t xml:space="preserve"> </w:t>
      </w:r>
      <w:r w:rsidR="00FC265B" w:rsidRPr="00FC265B">
        <w:rPr>
          <w:rFonts w:ascii="Times New Roman" w:hAnsi="Times New Roman" w:cs="Times New Roman"/>
          <w:szCs w:val="21"/>
        </w:rPr>
        <w:t>is fully committed to fulfilling customer‑specified project deliverables through multiple measures: raising in‑house component manufacturing ratios, increasing outsourcing of non‑core spare parts together with quality‑control oversight, and optimally allocating installation‑commissioning and procurement‑coordination personnel to short</w:t>
      </w:r>
      <w:r w:rsidR="00FC265B">
        <w:rPr>
          <w:rFonts w:ascii="Times New Roman" w:hAnsi="Times New Roman" w:cs="Times New Roman"/>
          <w:szCs w:val="21"/>
        </w:rPr>
        <w:t>en lead‑time.</w:t>
      </w:r>
    </w:p>
    <w:p w14:paraId="39A8157C" w14:textId="34F1C639" w:rsidR="00FC265B" w:rsidRPr="00FC265B" w:rsidRDefault="00FC265B" w:rsidP="00694D1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 xml:space="preserve">During the reporting period, </w:t>
      </w:r>
      <w:r>
        <w:rPr>
          <w:rFonts w:ascii="Times New Roman" w:hAnsi="Times New Roman" w:cs="Times New Roman"/>
          <w:szCs w:val="21"/>
        </w:rPr>
        <w:t>KATOP</w:t>
      </w:r>
      <w:r w:rsidRPr="00FC265B">
        <w:rPr>
          <w:rFonts w:ascii="Times New Roman" w:hAnsi="Times New Roman" w:cs="Times New Roman"/>
          <w:szCs w:val="21"/>
        </w:rPr>
        <w:t xml:space="preserve">,  </w:t>
      </w:r>
      <w:r w:rsidR="00E6056C">
        <w:rPr>
          <w:rFonts w:ascii="Times New Roman" w:hAnsi="Times New Roman" w:cs="Times New Roman" w:hint="eastAsia"/>
          <w:szCs w:val="21"/>
        </w:rPr>
        <w:t xml:space="preserve">the </w:t>
      </w:r>
      <w:r w:rsidRPr="00FC265B">
        <w:rPr>
          <w:rFonts w:ascii="Times New Roman" w:hAnsi="Times New Roman" w:cs="Times New Roman"/>
          <w:szCs w:val="21"/>
        </w:rPr>
        <w:t>automation‑equipment‑business platform</w:t>
      </w:r>
      <w:r w:rsidR="00E6056C">
        <w:rPr>
          <w:rFonts w:ascii="Times New Roman" w:hAnsi="Times New Roman" w:cs="Times New Roman" w:hint="eastAsia"/>
          <w:szCs w:val="21"/>
        </w:rPr>
        <w:t xml:space="preserve"> of the Company</w:t>
      </w:r>
      <w:r w:rsidRPr="00FC265B">
        <w:rPr>
          <w:rFonts w:ascii="Times New Roman" w:hAnsi="Times New Roman" w:cs="Times New Roman"/>
          <w:szCs w:val="21"/>
        </w:rPr>
        <w:t>, submitted application documents for public share‑offering and listing to the Beijing Stock Exchange (“BSE”) in June</w:t>
      </w:r>
      <w:r w:rsidR="00694D1B">
        <w:rPr>
          <w:rFonts w:ascii="Times New Roman" w:hAnsi="Times New Roman" w:cs="Times New Roman"/>
          <w:szCs w:val="21"/>
        </w:rPr>
        <w:t>, which were formally accepted.</w:t>
      </w:r>
    </w:p>
    <w:p w14:paraId="24790AE5" w14:textId="3A4E4283" w:rsidR="00FC265B" w:rsidRPr="00694D1B" w:rsidRDefault="00FC265B" w:rsidP="00FC265B">
      <w:pPr>
        <w:spacing w:line="360" w:lineRule="auto"/>
        <w:ind w:firstLineChars="200" w:firstLine="420"/>
        <w:rPr>
          <w:rFonts w:ascii="Times New Roman" w:hAnsi="Times New Roman" w:cs="Times New Roman"/>
          <w:b/>
          <w:szCs w:val="21"/>
        </w:rPr>
      </w:pPr>
      <w:r w:rsidRPr="00694D1B">
        <w:rPr>
          <w:rFonts w:ascii="Times New Roman" w:hAnsi="Times New Roman" w:cs="Times New Roman"/>
          <w:b/>
          <w:szCs w:val="21"/>
        </w:rPr>
        <w:t xml:space="preserve"> (III) </w:t>
      </w:r>
      <w:r w:rsidR="00D816DD" w:rsidRPr="00D816DD">
        <w:rPr>
          <w:rFonts w:ascii="Times New Roman" w:hAnsi="Times New Roman" w:cs="Times New Roman"/>
          <w:b/>
          <w:szCs w:val="21"/>
        </w:rPr>
        <w:t>CAAS electrode processing</w:t>
      </w:r>
      <w:r w:rsidRPr="00694D1B">
        <w:rPr>
          <w:rFonts w:ascii="Times New Roman" w:hAnsi="Times New Roman" w:cs="Times New Roman"/>
          <w:b/>
          <w:szCs w:val="21"/>
        </w:rPr>
        <w:t xml:space="preserve"> (“CAAS”)</w:t>
      </w:r>
    </w:p>
    <w:p w14:paraId="6B632C7F" w14:textId="7E2942A2"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 xml:space="preserve">Since 2026, </w:t>
      </w:r>
      <w:r w:rsidR="00010043">
        <w:rPr>
          <w:rFonts w:ascii="Times New Roman" w:hAnsi="Times New Roman" w:cs="Times New Roman"/>
          <w:szCs w:val="21"/>
        </w:rPr>
        <w:t xml:space="preserve">the Company captures the market development opportunities in </w:t>
      </w:r>
      <w:r w:rsidRPr="00FC265B">
        <w:rPr>
          <w:rFonts w:ascii="Times New Roman" w:hAnsi="Times New Roman" w:cs="Times New Roman"/>
          <w:szCs w:val="21"/>
        </w:rPr>
        <w:t xml:space="preserve">CAAS business and achieved major breakthroughs in customer acquisition. Electrode‑processing volume (sales volume) exceeded 20 million square metres, </w:t>
      </w:r>
      <w:r w:rsidR="00010043">
        <w:rPr>
          <w:rFonts w:ascii="Times New Roman" w:hAnsi="Times New Roman" w:cs="Times New Roman"/>
          <w:szCs w:val="21"/>
        </w:rPr>
        <w:t xml:space="preserve">representing a yoy increase of </w:t>
      </w:r>
      <w:r w:rsidRPr="00FC265B">
        <w:rPr>
          <w:rFonts w:ascii="Times New Roman" w:hAnsi="Times New Roman" w:cs="Times New Roman"/>
          <w:szCs w:val="21"/>
        </w:rPr>
        <w:t xml:space="preserve">nearly 70%. </w:t>
      </w:r>
      <w:r w:rsidR="00010043">
        <w:rPr>
          <w:rFonts w:ascii="Times New Roman" w:hAnsi="Times New Roman" w:cs="Times New Roman"/>
          <w:szCs w:val="21"/>
        </w:rPr>
        <w:t>The Company’s p</w:t>
      </w:r>
      <w:r w:rsidRPr="00FC265B">
        <w:rPr>
          <w:rFonts w:ascii="Times New Roman" w:hAnsi="Times New Roman" w:cs="Times New Roman"/>
          <w:szCs w:val="21"/>
        </w:rPr>
        <w:t>roduct offerings cover prismatic‑battery (including lithium‑ion and sodium‑ion‑battery) and cylindrical‑battery customers, with capacity‑utilisation rate</w:t>
      </w:r>
      <w:r>
        <w:rPr>
          <w:rFonts w:ascii="Times New Roman" w:hAnsi="Times New Roman" w:cs="Times New Roman"/>
          <w:szCs w:val="21"/>
        </w:rPr>
        <w:t>s maintained at healthy levels.</w:t>
      </w:r>
    </w:p>
    <w:p w14:paraId="103592BD" w14:textId="7F796B7E"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To further satisfy downstream customer requirements</w:t>
      </w:r>
      <w:r w:rsidR="00097481">
        <w:rPr>
          <w:rFonts w:ascii="Times New Roman" w:hAnsi="Times New Roman" w:cs="Times New Roman"/>
          <w:szCs w:val="21"/>
        </w:rPr>
        <w:t>, PTL is fully commissioning the</w:t>
      </w:r>
      <w:r w:rsidRPr="00FC265B">
        <w:rPr>
          <w:rFonts w:ascii="Times New Roman" w:hAnsi="Times New Roman" w:cs="Times New Roman"/>
          <w:szCs w:val="21"/>
        </w:rPr>
        <w:t xml:space="preserve"> existing 8 GWh capacity while actively constructing an additional 8 GWh CAAS production capacity. Profit structures are being optimised via refined operations and process upgrades. On the one hand, refined </w:t>
      </w:r>
      <w:r w:rsidRPr="00FC265B">
        <w:rPr>
          <w:rFonts w:ascii="Times New Roman" w:hAnsi="Times New Roman" w:cs="Times New Roman"/>
          <w:szCs w:val="21"/>
        </w:rPr>
        <w:lastRenderedPageBreak/>
        <w:t>management maximises overall‑equipment efficiency and optimises cost structures. On the other hand, technical innovations for coating equipment (higher speed and wider width), automated slurry‑preparation deployment and process iteration comprehensively lift producti</w:t>
      </w:r>
      <w:r>
        <w:rPr>
          <w:rFonts w:ascii="Times New Roman" w:hAnsi="Times New Roman" w:cs="Times New Roman"/>
          <w:szCs w:val="21"/>
        </w:rPr>
        <w:t>on efficiency.</w:t>
      </w:r>
    </w:p>
    <w:p w14:paraId="42DC95BA" w14:textId="442E11CB" w:rsidR="00FC265B" w:rsidRPr="00FC265B" w:rsidRDefault="00010043" w:rsidP="00694D1B">
      <w:pPr>
        <w:spacing w:line="360" w:lineRule="auto"/>
        <w:ind w:firstLineChars="200" w:firstLine="420"/>
        <w:rPr>
          <w:rFonts w:ascii="Times New Roman" w:hAnsi="Times New Roman" w:cs="Times New Roman"/>
          <w:szCs w:val="21"/>
        </w:rPr>
      </w:pPr>
      <w:r>
        <w:rPr>
          <w:rFonts w:ascii="Times New Roman" w:hAnsi="Times New Roman" w:cs="Times New Roman"/>
          <w:szCs w:val="21"/>
        </w:rPr>
        <w:t>The Company</w:t>
      </w:r>
      <w:r w:rsidRPr="00FC265B">
        <w:rPr>
          <w:rFonts w:ascii="Times New Roman" w:hAnsi="Times New Roman" w:cs="Times New Roman"/>
          <w:szCs w:val="21"/>
        </w:rPr>
        <w:t xml:space="preserve">’s </w:t>
      </w:r>
      <w:r w:rsidR="00FC265B" w:rsidRPr="00FC265B">
        <w:rPr>
          <w:rFonts w:ascii="Times New Roman" w:hAnsi="Times New Roman" w:cs="Times New Roman"/>
          <w:szCs w:val="21"/>
        </w:rPr>
        <w:t xml:space="preserve">CAAS business is poised to deliver customised supplementary production capacity for downstream customers and grow alongside emerging participants in lithium‑ion‑battery, sodium‑ion‑battery and large‑cylindrical‑battery markets, forming a more flexible specialised‑division‑of‑labour model. </w:t>
      </w:r>
      <w:r>
        <w:rPr>
          <w:rFonts w:ascii="Times New Roman" w:hAnsi="Times New Roman" w:cs="Times New Roman"/>
          <w:szCs w:val="21"/>
        </w:rPr>
        <w:t>The Company</w:t>
      </w:r>
      <w:r w:rsidRPr="00FC265B">
        <w:rPr>
          <w:rFonts w:ascii="Times New Roman" w:hAnsi="Times New Roman" w:cs="Times New Roman"/>
          <w:szCs w:val="21"/>
        </w:rPr>
        <w:t xml:space="preserve"> </w:t>
      </w:r>
      <w:r w:rsidR="00FC265B" w:rsidRPr="00FC265B">
        <w:rPr>
          <w:rFonts w:ascii="Times New Roman" w:hAnsi="Times New Roman" w:cs="Times New Roman"/>
          <w:szCs w:val="21"/>
        </w:rPr>
        <w:t>will leverage differentiated process‑technology capabilities to build an upstr</w:t>
      </w:r>
      <w:r w:rsidR="00694D1B">
        <w:rPr>
          <w:rFonts w:ascii="Times New Roman" w:hAnsi="Times New Roman" w:cs="Times New Roman"/>
          <w:szCs w:val="21"/>
        </w:rPr>
        <w:t>eam industrial‑chain ecosystem.</w:t>
      </w:r>
    </w:p>
    <w:p w14:paraId="06EC12B4" w14:textId="53171240" w:rsidR="00FC265B" w:rsidRPr="00694D1B" w:rsidRDefault="00B2239E" w:rsidP="00694D1B">
      <w:pPr>
        <w:keepNext/>
        <w:keepLines/>
        <w:numPr>
          <w:ilvl w:val="1"/>
          <w:numId w:val="1"/>
        </w:numPr>
        <w:spacing w:before="60" w:after="60" w:line="360" w:lineRule="auto"/>
        <w:ind w:left="498" w:hangingChars="236" w:hanging="498"/>
        <w:outlineLvl w:val="1"/>
        <w:rPr>
          <w:rFonts w:ascii="Times New Roman" w:eastAsia="宋体" w:hAnsi="Times New Roman" w:cs="Times New Roman"/>
          <w:b/>
          <w:bCs/>
          <w:szCs w:val="21"/>
          <w:lang w:val="en"/>
        </w:rPr>
      </w:pPr>
      <w:r w:rsidRPr="00694D1B">
        <w:rPr>
          <w:rFonts w:ascii="Times New Roman" w:eastAsia="宋体" w:hAnsi="Times New Roman" w:cs="Times New Roman"/>
          <w:b/>
          <w:bCs/>
          <w:szCs w:val="21"/>
          <w:lang w:val="en"/>
        </w:rPr>
        <w:t xml:space="preserve"> </w:t>
      </w:r>
      <w:r w:rsidR="00FC265B" w:rsidRPr="00694D1B">
        <w:rPr>
          <w:rFonts w:ascii="Times New Roman" w:eastAsia="宋体" w:hAnsi="Times New Roman" w:cs="Times New Roman"/>
          <w:b/>
          <w:bCs/>
          <w:szCs w:val="21"/>
          <w:lang w:val="en"/>
        </w:rPr>
        <w:t>Analysis of Core Competitiveness during the Reporting Period</w:t>
      </w:r>
    </w:p>
    <w:p w14:paraId="00E0CA0D" w14:textId="5F81BC35" w:rsidR="00FC265B" w:rsidRPr="00FC265B" w:rsidRDefault="00FC265B" w:rsidP="00FC265B">
      <w:pPr>
        <w:spacing w:line="360" w:lineRule="auto"/>
        <w:ind w:firstLineChars="200" w:firstLine="420"/>
        <w:rPr>
          <w:rFonts w:ascii="Times New Roman" w:hAnsi="Times New Roman" w:cs="Times New Roman"/>
          <w:b/>
          <w:szCs w:val="21"/>
        </w:rPr>
      </w:pPr>
      <w:r w:rsidRPr="00FC265B">
        <w:rPr>
          <w:rFonts w:ascii="Times New Roman" w:hAnsi="Times New Roman" w:cs="Times New Roman"/>
          <w:b/>
          <w:szCs w:val="21"/>
        </w:rPr>
        <w:t xml:space="preserve"> (I) Integrated‑Strategy‑Driven Strong Product and Service Competitiveness</w:t>
      </w:r>
    </w:p>
    <w:p w14:paraId="77DF1BDF" w14:textId="290422C5" w:rsidR="00FC265B" w:rsidRPr="00FC265B" w:rsidRDefault="00554E4D" w:rsidP="00FC265B">
      <w:pPr>
        <w:spacing w:line="360" w:lineRule="auto"/>
        <w:ind w:firstLineChars="200" w:firstLine="420"/>
        <w:rPr>
          <w:rFonts w:ascii="Times New Roman" w:hAnsi="Times New Roman" w:cs="Times New Roman"/>
          <w:szCs w:val="21"/>
        </w:rPr>
      </w:pPr>
      <w:r>
        <w:rPr>
          <w:rFonts w:ascii="Times New Roman" w:hAnsi="Times New Roman" w:cs="Times New Roman"/>
          <w:szCs w:val="21"/>
        </w:rPr>
        <w:t>In</w:t>
      </w:r>
      <w:r w:rsidR="00FC265B" w:rsidRPr="00FC265B">
        <w:rPr>
          <w:rFonts w:ascii="Times New Roman" w:hAnsi="Times New Roman" w:cs="Times New Roman"/>
          <w:szCs w:val="21"/>
        </w:rPr>
        <w:t xml:space="preserve"> </w:t>
      </w:r>
      <w:r>
        <w:rPr>
          <w:rFonts w:ascii="Times New Roman" w:hAnsi="Times New Roman" w:cs="Times New Roman"/>
          <w:szCs w:val="21"/>
        </w:rPr>
        <w:t xml:space="preserve">the field of </w:t>
      </w:r>
      <w:r w:rsidR="00FC265B" w:rsidRPr="00FC265B">
        <w:rPr>
          <w:rFonts w:ascii="Times New Roman" w:hAnsi="Times New Roman" w:cs="Times New Roman"/>
          <w:szCs w:val="21"/>
        </w:rPr>
        <w:t xml:space="preserve">coated‑separator, </w:t>
      </w:r>
      <w:r w:rsidR="00D06C9B">
        <w:rPr>
          <w:rFonts w:ascii="Times New Roman" w:hAnsi="Times New Roman" w:cs="Times New Roman" w:hint="eastAsia"/>
          <w:szCs w:val="21"/>
        </w:rPr>
        <w:t>the Company</w:t>
      </w:r>
      <w:r w:rsidRPr="00FC265B">
        <w:rPr>
          <w:rFonts w:ascii="Times New Roman" w:hAnsi="Times New Roman" w:cs="Times New Roman"/>
          <w:szCs w:val="21"/>
        </w:rPr>
        <w:t xml:space="preserve"> </w:t>
      </w:r>
      <w:r w:rsidR="00FC265B" w:rsidRPr="00FC265B">
        <w:rPr>
          <w:rFonts w:ascii="Times New Roman" w:hAnsi="Times New Roman" w:cs="Times New Roman"/>
          <w:szCs w:val="21"/>
        </w:rPr>
        <w:t xml:space="preserve">is the </w:t>
      </w:r>
      <w:r w:rsidR="00675C05" w:rsidRPr="00FC265B">
        <w:rPr>
          <w:rFonts w:ascii="Times New Roman" w:hAnsi="Times New Roman" w:cs="Times New Roman"/>
          <w:szCs w:val="21"/>
        </w:rPr>
        <w:t xml:space="preserve">only </w:t>
      </w:r>
      <w:r w:rsidR="00FC265B" w:rsidRPr="00FC265B">
        <w:rPr>
          <w:rFonts w:ascii="Times New Roman" w:hAnsi="Times New Roman" w:cs="Times New Roman"/>
          <w:szCs w:val="21"/>
        </w:rPr>
        <w:t>enterprise with a closed‑loop integrated industrial ecosystem covering “processes, equipment and materials”</w:t>
      </w:r>
      <w:r w:rsidR="00675C05">
        <w:rPr>
          <w:rFonts w:ascii="Times New Roman" w:hAnsi="Times New Roman" w:cs="Times New Roman"/>
          <w:szCs w:val="21"/>
        </w:rPr>
        <w:t xml:space="preserve"> in the world</w:t>
      </w:r>
      <w:r w:rsidR="00FC265B" w:rsidRPr="00FC265B">
        <w:rPr>
          <w:rFonts w:ascii="Times New Roman" w:hAnsi="Times New Roman" w:cs="Times New Roman"/>
          <w:szCs w:val="21"/>
        </w:rPr>
        <w:t xml:space="preserve">. </w:t>
      </w:r>
      <w:r w:rsidR="00675C05">
        <w:rPr>
          <w:rFonts w:ascii="Times New Roman" w:hAnsi="Times New Roman" w:cs="Times New Roman"/>
          <w:szCs w:val="21"/>
        </w:rPr>
        <w:t>It</w:t>
      </w:r>
      <w:r w:rsidRPr="00FC265B">
        <w:rPr>
          <w:rFonts w:ascii="Times New Roman" w:hAnsi="Times New Roman" w:cs="Times New Roman"/>
          <w:szCs w:val="21"/>
        </w:rPr>
        <w:t xml:space="preserve"> </w:t>
      </w:r>
      <w:r w:rsidR="00FC265B" w:rsidRPr="00FC265B">
        <w:rPr>
          <w:rFonts w:ascii="Times New Roman" w:hAnsi="Times New Roman" w:cs="Times New Roman"/>
          <w:szCs w:val="21"/>
        </w:rPr>
        <w:t xml:space="preserve">possesses comprehensive competitive advantages in coating‑technology innovation, production efficiency, cost performance and quality stability. In functional‑materials segments, </w:t>
      </w:r>
      <w:r w:rsidR="00675C05">
        <w:rPr>
          <w:rFonts w:ascii="Times New Roman" w:hAnsi="Times New Roman" w:cs="Times New Roman"/>
          <w:szCs w:val="21"/>
        </w:rPr>
        <w:t>it</w:t>
      </w:r>
      <w:r w:rsidR="00FC265B" w:rsidRPr="00FC265B">
        <w:rPr>
          <w:rFonts w:ascii="Times New Roman" w:hAnsi="Times New Roman" w:cs="Times New Roman"/>
          <w:szCs w:val="21"/>
        </w:rPr>
        <w:t xml:space="preserve"> holds top domestic market shares for PVDF and PAA (</w:t>
      </w:r>
      <w:r>
        <w:rPr>
          <w:rFonts w:ascii="Times New Roman" w:hAnsi="Times New Roman" w:cs="Times New Roman"/>
          <w:szCs w:val="21"/>
        </w:rPr>
        <w:t>an</w:t>
      </w:r>
      <w:r w:rsidR="00FC265B" w:rsidRPr="00FC265B">
        <w:rPr>
          <w:rFonts w:ascii="Times New Roman" w:hAnsi="Times New Roman" w:cs="Times New Roman"/>
          <w:szCs w:val="21"/>
        </w:rPr>
        <w:t xml:space="preserve"> associated company), alongside globally leading </w:t>
      </w:r>
      <w:r w:rsidR="00717743" w:rsidRPr="00FC265B">
        <w:rPr>
          <w:rFonts w:ascii="Times New Roman" w:hAnsi="Times New Roman" w:cs="Times New Roman"/>
          <w:szCs w:val="21"/>
        </w:rPr>
        <w:t>self-</w:t>
      </w:r>
      <w:r w:rsidR="00717743" w:rsidRPr="00717743">
        <w:t xml:space="preserve"> </w:t>
      </w:r>
      <w:r w:rsidR="00717743" w:rsidRPr="00717743">
        <w:rPr>
          <w:rFonts w:ascii="Times New Roman" w:hAnsi="Times New Roman" w:cs="Times New Roman"/>
          <w:szCs w:val="21"/>
        </w:rPr>
        <w:t>sufficiency</w:t>
      </w:r>
      <w:r w:rsidR="00FC265B" w:rsidRPr="00FC265B">
        <w:rPr>
          <w:rFonts w:ascii="Times New Roman" w:hAnsi="Times New Roman" w:cs="Times New Roman"/>
          <w:szCs w:val="21"/>
        </w:rPr>
        <w:t xml:space="preserve"> ratios for alumina and boehmite. In base‑film operations, </w:t>
      </w:r>
      <w:r w:rsidR="00675C05">
        <w:rPr>
          <w:rFonts w:ascii="Times New Roman" w:hAnsi="Times New Roman" w:cs="Times New Roman"/>
          <w:szCs w:val="21"/>
        </w:rPr>
        <w:t>it</w:t>
      </w:r>
      <w:r w:rsidR="00FC265B" w:rsidRPr="00FC265B">
        <w:rPr>
          <w:rFonts w:ascii="Times New Roman" w:hAnsi="Times New Roman" w:cs="Times New Roman"/>
          <w:szCs w:val="21"/>
        </w:rPr>
        <w:t xml:space="preserve"> has achieved self‑control over base‑film‑manufacturing equipment through proprietary integrated design, with long‑term equipment‑iteration capabilities highly recognised by downstream customers. </w:t>
      </w:r>
      <w:r>
        <w:rPr>
          <w:rFonts w:ascii="Times New Roman" w:hAnsi="Times New Roman" w:cs="Times New Roman"/>
          <w:szCs w:val="21"/>
        </w:rPr>
        <w:t>Leveraging the</w:t>
      </w:r>
      <w:r w:rsidRPr="00FC265B">
        <w:rPr>
          <w:rFonts w:ascii="Times New Roman" w:hAnsi="Times New Roman" w:cs="Times New Roman"/>
          <w:szCs w:val="21"/>
        </w:rPr>
        <w:t xml:space="preserve"> </w:t>
      </w:r>
      <w:r w:rsidR="00FC265B" w:rsidRPr="00FC265B">
        <w:rPr>
          <w:rFonts w:ascii="Times New Roman" w:hAnsi="Times New Roman" w:cs="Times New Roman"/>
          <w:szCs w:val="21"/>
        </w:rPr>
        <w:t xml:space="preserve">integrated layout of “base </w:t>
      </w:r>
      <w:r w:rsidRPr="00FC265B">
        <w:rPr>
          <w:rFonts w:ascii="Times New Roman" w:hAnsi="Times New Roman" w:cs="Times New Roman"/>
          <w:szCs w:val="21"/>
        </w:rPr>
        <w:t xml:space="preserve">separator </w:t>
      </w:r>
      <w:r w:rsidR="00FC265B" w:rsidRPr="00FC265B">
        <w:rPr>
          <w:rFonts w:ascii="Times New Roman" w:hAnsi="Times New Roman" w:cs="Times New Roman"/>
          <w:szCs w:val="21"/>
        </w:rPr>
        <w:t>films + coating materials + base</w:t>
      </w:r>
      <w:r>
        <w:rPr>
          <w:rFonts w:ascii="Times New Roman" w:hAnsi="Times New Roman" w:cs="Times New Roman"/>
          <w:szCs w:val="21"/>
        </w:rPr>
        <w:t xml:space="preserve"> </w:t>
      </w:r>
      <w:r w:rsidR="00FC265B" w:rsidRPr="00FC265B">
        <w:rPr>
          <w:rFonts w:ascii="Times New Roman" w:hAnsi="Times New Roman" w:cs="Times New Roman"/>
          <w:szCs w:val="21"/>
        </w:rPr>
        <w:t xml:space="preserve">film equipment”, </w:t>
      </w:r>
      <w:r>
        <w:rPr>
          <w:rFonts w:ascii="Times New Roman" w:hAnsi="Times New Roman" w:cs="Times New Roman"/>
          <w:szCs w:val="21"/>
        </w:rPr>
        <w:t>the Company</w:t>
      </w:r>
      <w:r w:rsidR="00FC265B" w:rsidRPr="00FC265B">
        <w:rPr>
          <w:rFonts w:ascii="Times New Roman" w:hAnsi="Times New Roman" w:cs="Times New Roman"/>
          <w:szCs w:val="21"/>
        </w:rPr>
        <w:t xml:space="preserve"> </w:t>
      </w:r>
      <w:r>
        <w:rPr>
          <w:rFonts w:ascii="Times New Roman" w:hAnsi="Times New Roman" w:cs="Times New Roman"/>
          <w:szCs w:val="21"/>
        </w:rPr>
        <w:t>is able to</w:t>
      </w:r>
      <w:r w:rsidR="00FC265B" w:rsidRPr="00FC265B">
        <w:rPr>
          <w:rFonts w:ascii="Times New Roman" w:hAnsi="Times New Roman" w:cs="Times New Roman"/>
          <w:szCs w:val="21"/>
        </w:rPr>
        <w:t xml:space="preserve"> deliver long‑term cost‑control solutions for downstream customers and drive industry‑wide cost reduction and efficiency enhancement, securing durable comprehen</w:t>
      </w:r>
      <w:r w:rsidR="00FC265B">
        <w:rPr>
          <w:rFonts w:ascii="Times New Roman" w:hAnsi="Times New Roman" w:cs="Times New Roman"/>
          <w:szCs w:val="21"/>
        </w:rPr>
        <w:t>sive competitiveness.</w:t>
      </w:r>
    </w:p>
    <w:p w14:paraId="5537AC75" w14:textId="2E609297" w:rsidR="00FC265B" w:rsidRPr="00FC265B" w:rsidRDefault="00152275" w:rsidP="00694D1B">
      <w:pPr>
        <w:spacing w:line="360" w:lineRule="auto"/>
        <w:ind w:firstLineChars="200" w:firstLine="420"/>
        <w:rPr>
          <w:rFonts w:ascii="Times New Roman" w:hAnsi="Times New Roman" w:cs="Times New Roman"/>
          <w:szCs w:val="21"/>
        </w:rPr>
      </w:pPr>
      <w:r>
        <w:rPr>
          <w:rFonts w:ascii="Times New Roman" w:hAnsi="Times New Roman" w:cs="Times New Roman" w:hint="eastAsia"/>
          <w:szCs w:val="21"/>
        </w:rPr>
        <w:t>The Company</w:t>
      </w:r>
      <w:r w:rsidR="00FC265B" w:rsidRPr="00FC265B">
        <w:rPr>
          <w:rFonts w:ascii="Times New Roman" w:hAnsi="Times New Roman" w:cs="Times New Roman"/>
          <w:szCs w:val="21"/>
        </w:rPr>
        <w:t xml:space="preserve"> has also implemented integrated‑process layouts for anode‑material production. Multiple continuous‑production and automated‑powder‑transfer processes are deployed at Sichuan base, bringing innovative upgrades to environmental‑friendliness, safety, energy‑saving‑and‑emission‑reduction, intelligence and digitalisation in anode‑material manufacturing. </w:t>
      </w:r>
      <w:r w:rsidR="00675C05">
        <w:rPr>
          <w:rFonts w:ascii="Times New Roman" w:hAnsi="Times New Roman" w:cs="Times New Roman"/>
          <w:szCs w:val="21"/>
        </w:rPr>
        <w:t>Its</w:t>
      </w:r>
      <w:r w:rsidR="00FC265B" w:rsidRPr="00FC265B">
        <w:rPr>
          <w:rFonts w:ascii="Times New Roman" w:hAnsi="Times New Roman" w:cs="Times New Roman"/>
          <w:szCs w:val="21"/>
        </w:rPr>
        <w:t xml:space="preserve"> proprietary innovative graphitisation‑temperature‑control technology drastically shortens graphitisation cooling cycles and delivers substantial improvements in per‑unit output for graphitisation workflows. </w:t>
      </w:r>
      <w:r w:rsidR="00675C05">
        <w:rPr>
          <w:rFonts w:ascii="Times New Roman" w:hAnsi="Times New Roman" w:cs="Times New Roman"/>
          <w:szCs w:val="21"/>
        </w:rPr>
        <w:t>The</w:t>
      </w:r>
      <w:r w:rsidR="00FC265B" w:rsidRPr="00FC265B">
        <w:rPr>
          <w:rFonts w:ascii="Times New Roman" w:hAnsi="Times New Roman" w:cs="Times New Roman"/>
          <w:szCs w:val="21"/>
        </w:rPr>
        <w:t xml:space="preserve"> Sichuan anode‑material production base is expected to become a </w:t>
      </w:r>
      <w:r w:rsidR="00FC265B" w:rsidRPr="00FC265B">
        <w:rPr>
          <w:rFonts w:ascii="Times New Roman" w:hAnsi="Times New Roman" w:cs="Times New Roman"/>
          <w:szCs w:val="21"/>
        </w:rPr>
        <w:lastRenderedPageBreak/>
        <w:t>benchmark facility for next‑generatio</w:t>
      </w:r>
      <w:r w:rsidR="00694D1B">
        <w:rPr>
          <w:rFonts w:ascii="Times New Roman" w:hAnsi="Times New Roman" w:cs="Times New Roman"/>
          <w:szCs w:val="21"/>
        </w:rPr>
        <w:t>n anode‑material.</w:t>
      </w:r>
    </w:p>
    <w:p w14:paraId="5183A38F" w14:textId="49E46779" w:rsidR="00FC265B" w:rsidRPr="00FC265B" w:rsidRDefault="00FC265B" w:rsidP="00FC265B">
      <w:pPr>
        <w:spacing w:line="360" w:lineRule="auto"/>
        <w:ind w:firstLineChars="200" w:firstLine="420"/>
        <w:rPr>
          <w:rFonts w:ascii="Times New Roman" w:hAnsi="Times New Roman" w:cs="Times New Roman"/>
          <w:b/>
          <w:szCs w:val="21"/>
        </w:rPr>
      </w:pPr>
      <w:r w:rsidRPr="00FC265B">
        <w:rPr>
          <w:rFonts w:ascii="Times New Roman" w:hAnsi="Times New Roman" w:cs="Times New Roman"/>
          <w:b/>
          <w:szCs w:val="21"/>
        </w:rPr>
        <w:t xml:space="preserve"> (II) Platform‑Strategy </w:t>
      </w:r>
      <w:r w:rsidR="00675C05">
        <w:rPr>
          <w:rFonts w:ascii="Times New Roman" w:hAnsi="Times New Roman" w:cs="Times New Roman" w:hint="eastAsia"/>
          <w:b/>
          <w:szCs w:val="21"/>
        </w:rPr>
        <w:t>E</w:t>
      </w:r>
      <w:r w:rsidR="00675C05">
        <w:rPr>
          <w:rFonts w:ascii="Times New Roman" w:hAnsi="Times New Roman" w:cs="Times New Roman"/>
          <w:b/>
          <w:szCs w:val="21"/>
        </w:rPr>
        <w:t>xploiting</w:t>
      </w:r>
      <w:r w:rsidRPr="00FC265B">
        <w:rPr>
          <w:rFonts w:ascii="Times New Roman" w:hAnsi="Times New Roman" w:cs="Times New Roman"/>
          <w:b/>
          <w:szCs w:val="21"/>
        </w:rPr>
        <w:t xml:space="preserve"> Synergistic Advantages of “Mat</w:t>
      </w:r>
      <w:r>
        <w:rPr>
          <w:rFonts w:ascii="Times New Roman" w:hAnsi="Times New Roman" w:cs="Times New Roman"/>
          <w:b/>
          <w:szCs w:val="21"/>
        </w:rPr>
        <w:t>erials + Processes + Equipment”</w:t>
      </w:r>
    </w:p>
    <w:p w14:paraId="59F4BBE4" w14:textId="413769AE"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PTL consistently adheres to its corporate vision: “Advance boundaries via material innovation; shape the future through intelligent manufacturing”. PTL boasts robust R&amp;D teams for battery materials and automation equipment together with battery‑industry specialists. Drawing on profound understanding of new‑energy‑battery electrochemical systems, years of intensive R&amp;D investment and forward‑looking platform‑strategic deployment, PTL has built comprehensive solution capabilities rooted in underlying‑technology synergy and oriented towards customer requirements, transcending pure product‑level competition. PTL has established a collaborative‑empowerment service system covering customers’ full product lifecycles. Beyond physical‑product supply, PTL delivers highly‑customised processes and solutions for clients, forming hard‑to‑</w:t>
      </w:r>
      <w:r>
        <w:rPr>
          <w:rFonts w:ascii="Times New Roman" w:hAnsi="Times New Roman" w:cs="Times New Roman"/>
          <w:szCs w:val="21"/>
        </w:rPr>
        <w:t>replicate core competitiveness.</w:t>
      </w:r>
    </w:p>
    <w:p w14:paraId="4A28575F" w14:textId="33D02FBA" w:rsidR="00FC265B" w:rsidRPr="00FC265B" w:rsidRDefault="00FA54E6" w:rsidP="00694D1B">
      <w:pPr>
        <w:spacing w:line="360" w:lineRule="auto"/>
        <w:ind w:firstLineChars="200" w:firstLine="420"/>
        <w:rPr>
          <w:rFonts w:ascii="Times New Roman" w:hAnsi="Times New Roman" w:cs="Times New Roman"/>
          <w:szCs w:val="21"/>
        </w:rPr>
      </w:pPr>
      <w:r w:rsidRPr="00FA54E6">
        <w:rPr>
          <w:rFonts w:ascii="Times New Roman" w:hAnsi="Times New Roman" w:cs="Times New Roman"/>
          <w:szCs w:val="21"/>
        </w:rPr>
        <w:t>Self-developed equipment capabilities and iterative advancements in materials and process technologies have endowed the Company with greater product customization capability and shorter response cycles</w:t>
      </w:r>
      <w:r w:rsidR="00FC265B" w:rsidRPr="00FC265B">
        <w:rPr>
          <w:rFonts w:ascii="Times New Roman" w:hAnsi="Times New Roman" w:cs="Times New Roman"/>
          <w:szCs w:val="21"/>
        </w:rPr>
        <w:t xml:space="preserve">, further deepening customer stickiness and providing </w:t>
      </w:r>
      <w:r w:rsidRPr="00FA54E6">
        <w:rPr>
          <w:rFonts w:ascii="Times New Roman" w:hAnsi="Times New Roman" w:cs="Times New Roman"/>
          <w:szCs w:val="21"/>
        </w:rPr>
        <w:t>stable outlet</w:t>
      </w:r>
      <w:r w:rsidR="00FC265B" w:rsidRPr="00FC265B">
        <w:rPr>
          <w:rFonts w:ascii="Times New Roman" w:hAnsi="Times New Roman" w:cs="Times New Roman"/>
          <w:szCs w:val="21"/>
        </w:rPr>
        <w:t xml:space="preserve"> </w:t>
      </w:r>
      <w:r w:rsidRPr="00FA54E6">
        <w:rPr>
          <w:rFonts w:ascii="Times New Roman" w:hAnsi="Times New Roman" w:cs="Times New Roman"/>
          <w:szCs w:val="21"/>
        </w:rPr>
        <w:t>through which long-term strategic orders are absorbed.</w:t>
      </w:r>
      <w:r w:rsidR="00FC265B" w:rsidRPr="00FC265B">
        <w:rPr>
          <w:rFonts w:ascii="Times New Roman" w:hAnsi="Times New Roman" w:cs="Times New Roman"/>
          <w:szCs w:val="21"/>
        </w:rPr>
        <w:t xml:space="preserve">. </w:t>
      </w:r>
      <w:r w:rsidR="00152275">
        <w:rPr>
          <w:rFonts w:ascii="Times New Roman" w:hAnsi="Times New Roman" w:cs="Times New Roman" w:hint="eastAsia"/>
          <w:szCs w:val="21"/>
        </w:rPr>
        <w:t xml:space="preserve">The Company </w:t>
      </w:r>
      <w:r>
        <w:rPr>
          <w:rFonts w:ascii="Times New Roman" w:hAnsi="Times New Roman" w:cs="Times New Roman" w:hint="eastAsia"/>
          <w:szCs w:val="21"/>
        </w:rPr>
        <w:t xml:space="preserve">has consistently maintained a </w:t>
      </w:r>
      <w:r w:rsidR="00FC265B" w:rsidRPr="00FC265B">
        <w:rPr>
          <w:rFonts w:ascii="Times New Roman" w:hAnsi="Times New Roman" w:cs="Times New Roman"/>
          <w:szCs w:val="21"/>
        </w:rPr>
        <w:t>comprehensive competitive advantages in product quality, cost‑efficiency and sp</w:t>
      </w:r>
      <w:r w:rsidR="00694D1B">
        <w:rPr>
          <w:rFonts w:ascii="Times New Roman" w:hAnsi="Times New Roman" w:cs="Times New Roman"/>
          <w:szCs w:val="21"/>
        </w:rPr>
        <w:t xml:space="preserve">eed of technological </w:t>
      </w:r>
      <w:r w:rsidR="00717743">
        <w:rPr>
          <w:rFonts w:ascii="Times New Roman" w:hAnsi="Times New Roman" w:cs="Times New Roman"/>
          <w:szCs w:val="21"/>
        </w:rPr>
        <w:t>evolution</w:t>
      </w:r>
      <w:r w:rsidR="005B1A82">
        <w:rPr>
          <w:rFonts w:ascii="Times New Roman" w:hAnsi="Times New Roman" w:cs="Times New Roman" w:hint="eastAsia"/>
          <w:szCs w:val="21"/>
        </w:rPr>
        <w:t xml:space="preserve"> b</w:t>
      </w:r>
      <w:r w:rsidR="005B1A82" w:rsidRPr="005B1A82">
        <w:rPr>
          <w:rFonts w:ascii="Times New Roman" w:hAnsi="Times New Roman" w:cs="Times New Roman"/>
          <w:szCs w:val="21"/>
        </w:rPr>
        <w:t>y virtue of the ecosystem moat built on its self-driven growth</w:t>
      </w:r>
      <w:r w:rsidR="00694D1B">
        <w:rPr>
          <w:rFonts w:ascii="Times New Roman" w:hAnsi="Times New Roman" w:cs="Times New Roman"/>
          <w:szCs w:val="21"/>
        </w:rPr>
        <w:t>.</w:t>
      </w:r>
    </w:p>
    <w:p w14:paraId="6300082B" w14:textId="342225FD" w:rsidR="00FC265B" w:rsidRPr="00FC265B" w:rsidRDefault="00FC265B" w:rsidP="00FC265B">
      <w:pPr>
        <w:spacing w:line="360" w:lineRule="auto"/>
        <w:ind w:firstLineChars="200" w:firstLine="420"/>
        <w:rPr>
          <w:rFonts w:ascii="Times New Roman" w:hAnsi="Times New Roman" w:cs="Times New Roman"/>
          <w:b/>
          <w:szCs w:val="21"/>
        </w:rPr>
      </w:pPr>
      <w:r w:rsidRPr="00FC265B">
        <w:rPr>
          <w:rFonts w:ascii="Times New Roman" w:hAnsi="Times New Roman" w:cs="Times New Roman"/>
          <w:b/>
          <w:szCs w:val="21"/>
        </w:rPr>
        <w:t xml:space="preserve"> (III) Technology and R&amp;D Advantages</w:t>
      </w:r>
    </w:p>
    <w:p w14:paraId="0AC5FE4A" w14:textId="27341B81" w:rsidR="00FC265B" w:rsidRPr="00FC265B" w:rsidRDefault="00FC265B" w:rsidP="00694D1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As a platform</w:t>
      </w:r>
      <w:r w:rsidR="005B1A82">
        <w:rPr>
          <w:rFonts w:ascii="Times New Roman" w:hAnsi="Times New Roman" w:cs="Times New Roman" w:hint="eastAsia"/>
          <w:szCs w:val="21"/>
        </w:rPr>
        <w:t>-based</w:t>
      </w:r>
      <w:r w:rsidRPr="00FC265B">
        <w:rPr>
          <w:rFonts w:ascii="Times New Roman" w:hAnsi="Times New Roman" w:cs="Times New Roman"/>
          <w:szCs w:val="21"/>
        </w:rPr>
        <w:t xml:space="preserve"> enterprise delivering battery‑material and process solutions, </w:t>
      </w:r>
      <w:r w:rsidR="005B1A82">
        <w:rPr>
          <w:rFonts w:ascii="Times New Roman" w:hAnsi="Times New Roman" w:cs="Times New Roman" w:hint="eastAsia"/>
          <w:szCs w:val="21"/>
        </w:rPr>
        <w:t>the Company</w:t>
      </w:r>
      <w:r w:rsidRPr="00FC265B">
        <w:rPr>
          <w:rFonts w:ascii="Times New Roman" w:hAnsi="Times New Roman" w:cs="Times New Roman"/>
          <w:szCs w:val="21"/>
        </w:rPr>
        <w:t xml:space="preserve"> closely tracks new‑energy‑industry trends and market demands, </w:t>
      </w:r>
      <w:r w:rsidR="005B1A82" w:rsidRPr="005B1A82">
        <w:rPr>
          <w:rFonts w:ascii="Times New Roman" w:hAnsi="Times New Roman" w:cs="Times New Roman"/>
          <w:szCs w:val="21"/>
        </w:rPr>
        <w:t>proactively positions itself in frontier technology fields in line with its corporate strategy, and continuously drives innovation.</w:t>
      </w:r>
      <w:r w:rsidRPr="00FC265B">
        <w:rPr>
          <w:rFonts w:ascii="Times New Roman" w:hAnsi="Times New Roman" w:cs="Times New Roman"/>
          <w:szCs w:val="21"/>
        </w:rPr>
        <w:t xml:space="preserve">. As at 30 June 2026, </w:t>
      </w:r>
      <w:r w:rsidR="005B1A82">
        <w:rPr>
          <w:rFonts w:ascii="Times New Roman" w:hAnsi="Times New Roman" w:cs="Times New Roman" w:hint="eastAsia"/>
          <w:szCs w:val="21"/>
        </w:rPr>
        <w:t>the Company</w:t>
      </w:r>
      <w:r w:rsidR="005B1A82" w:rsidRPr="00FC265B">
        <w:rPr>
          <w:rFonts w:ascii="Times New Roman" w:hAnsi="Times New Roman" w:cs="Times New Roman"/>
          <w:szCs w:val="21"/>
        </w:rPr>
        <w:t xml:space="preserve"> </w:t>
      </w:r>
      <w:r w:rsidRPr="00FC265B">
        <w:rPr>
          <w:rFonts w:ascii="Times New Roman" w:hAnsi="Times New Roman" w:cs="Times New Roman"/>
          <w:szCs w:val="21"/>
        </w:rPr>
        <w:t xml:space="preserve">and its subsidiaries held a cumulative total of 1,918 patents covering key segments of core businesses including coated separators, anode materials and automation equipment, enabling comprehensive solution delivery for customers. </w:t>
      </w:r>
      <w:r w:rsidR="0059463E">
        <w:rPr>
          <w:rFonts w:ascii="Times New Roman" w:hAnsi="Times New Roman" w:cs="Times New Roman"/>
          <w:szCs w:val="21"/>
        </w:rPr>
        <w:t>Leveraging</w:t>
      </w:r>
      <w:r w:rsidRPr="00FC265B">
        <w:rPr>
          <w:rFonts w:ascii="Times New Roman" w:hAnsi="Times New Roman" w:cs="Times New Roman"/>
          <w:szCs w:val="21"/>
        </w:rPr>
        <w:t xml:space="preserve"> industry‑leading R&amp;D‑and‑manufacturing systems, </w:t>
      </w:r>
      <w:r w:rsidR="005B1A82">
        <w:rPr>
          <w:rFonts w:ascii="Times New Roman" w:hAnsi="Times New Roman" w:cs="Times New Roman" w:hint="eastAsia"/>
          <w:szCs w:val="21"/>
        </w:rPr>
        <w:t>the Company</w:t>
      </w:r>
      <w:r w:rsidR="005B1A82">
        <w:rPr>
          <w:rFonts w:ascii="Times New Roman" w:hAnsi="Times New Roman" w:cs="Times New Roman"/>
          <w:szCs w:val="21"/>
        </w:rPr>
        <w:t>’</w:t>
      </w:r>
      <w:r w:rsidR="005B1A82">
        <w:rPr>
          <w:rFonts w:ascii="Times New Roman" w:hAnsi="Times New Roman" w:cs="Times New Roman" w:hint="eastAsia"/>
          <w:szCs w:val="21"/>
        </w:rPr>
        <w:t>s</w:t>
      </w:r>
      <w:r w:rsidR="005B1A82" w:rsidRPr="00FC265B">
        <w:rPr>
          <w:rFonts w:ascii="Times New Roman" w:hAnsi="Times New Roman" w:cs="Times New Roman"/>
          <w:szCs w:val="21"/>
        </w:rPr>
        <w:t xml:space="preserve"> </w:t>
      </w:r>
      <w:r w:rsidRPr="00FC265B">
        <w:rPr>
          <w:rFonts w:ascii="Times New Roman" w:hAnsi="Times New Roman" w:cs="Times New Roman"/>
          <w:szCs w:val="21"/>
        </w:rPr>
        <w:t xml:space="preserve">subsidiaries have obtained numerous honours, including National High‑Tech Enterprise, National Specialised, Refined, </w:t>
      </w:r>
      <w:r w:rsidR="005B1A82">
        <w:rPr>
          <w:rFonts w:ascii="Times New Roman" w:hAnsi="Times New Roman" w:cs="Times New Roman" w:hint="eastAsia"/>
          <w:szCs w:val="21"/>
        </w:rPr>
        <w:t xml:space="preserve">National </w:t>
      </w:r>
      <w:r w:rsidRPr="00FC265B">
        <w:rPr>
          <w:rFonts w:ascii="Times New Roman" w:hAnsi="Times New Roman" w:cs="Times New Roman"/>
          <w:szCs w:val="21"/>
        </w:rPr>
        <w:t>“Little Giant” Enterprise</w:t>
      </w:r>
      <w:r w:rsidR="005B1A82">
        <w:rPr>
          <w:rFonts w:ascii="Times New Roman" w:hAnsi="Times New Roman" w:cs="Times New Roman" w:hint="eastAsia"/>
          <w:szCs w:val="21"/>
        </w:rPr>
        <w:t xml:space="preserve"> </w:t>
      </w:r>
      <w:r w:rsidR="005B1A82" w:rsidRPr="005B1A82">
        <w:rPr>
          <w:rFonts w:ascii="Times New Roman" w:hAnsi="Times New Roman" w:cs="Times New Roman"/>
          <w:szCs w:val="21"/>
        </w:rPr>
        <w:t>(specialized, refined, differentiated and innovative)</w:t>
      </w:r>
      <w:r w:rsidRPr="00FC265B">
        <w:rPr>
          <w:rFonts w:ascii="Times New Roman" w:hAnsi="Times New Roman" w:cs="Times New Roman"/>
          <w:szCs w:val="21"/>
        </w:rPr>
        <w:t>, provincial‑level Specialised, Refined, Different</w:t>
      </w:r>
      <w:r w:rsidR="005B1A82">
        <w:rPr>
          <w:rFonts w:ascii="Times New Roman" w:hAnsi="Times New Roman" w:cs="Times New Roman" w:hint="eastAsia"/>
          <w:szCs w:val="21"/>
        </w:rPr>
        <w:t>ed</w:t>
      </w:r>
      <w:r w:rsidRPr="00FC265B">
        <w:rPr>
          <w:rFonts w:ascii="Times New Roman" w:hAnsi="Times New Roman" w:cs="Times New Roman"/>
          <w:szCs w:val="21"/>
        </w:rPr>
        <w:t xml:space="preserve"> </w:t>
      </w:r>
      <w:r w:rsidR="005B1A82">
        <w:rPr>
          <w:rFonts w:ascii="Times New Roman" w:hAnsi="Times New Roman" w:cs="Times New Roman" w:hint="eastAsia"/>
          <w:szCs w:val="21"/>
        </w:rPr>
        <w:t>and</w:t>
      </w:r>
      <w:r w:rsidRPr="00FC265B">
        <w:rPr>
          <w:rFonts w:ascii="Times New Roman" w:hAnsi="Times New Roman" w:cs="Times New Roman"/>
          <w:szCs w:val="21"/>
        </w:rPr>
        <w:t xml:space="preserve"> Innovative SMEs in Jiangsu, Guangdong and Jiangxi, Fujian Provincial </w:t>
      </w:r>
      <w:r w:rsidRPr="00FC265B">
        <w:rPr>
          <w:rFonts w:ascii="Times New Roman" w:hAnsi="Times New Roman" w:cs="Times New Roman"/>
          <w:szCs w:val="21"/>
        </w:rPr>
        <w:lastRenderedPageBreak/>
        <w:t xml:space="preserve">Science and Technology </w:t>
      </w:r>
      <w:r w:rsidR="00152275">
        <w:rPr>
          <w:rFonts w:ascii="Times New Roman" w:hAnsi="Times New Roman" w:cs="Times New Roman"/>
          <w:szCs w:val="21"/>
        </w:rPr>
        <w:t>“</w:t>
      </w:r>
      <w:r w:rsidRPr="00FC265B">
        <w:rPr>
          <w:rFonts w:ascii="Times New Roman" w:hAnsi="Times New Roman" w:cs="Times New Roman"/>
          <w:szCs w:val="21"/>
        </w:rPr>
        <w:t>Little Giant</w:t>
      </w:r>
      <w:r w:rsidR="00152275">
        <w:rPr>
          <w:rFonts w:ascii="Times New Roman" w:hAnsi="Times New Roman" w:cs="Times New Roman"/>
          <w:szCs w:val="21"/>
        </w:rPr>
        <w:t>”</w:t>
      </w:r>
      <w:r w:rsidRPr="00FC265B">
        <w:rPr>
          <w:rFonts w:ascii="Times New Roman" w:hAnsi="Times New Roman" w:cs="Times New Roman"/>
          <w:szCs w:val="21"/>
        </w:rPr>
        <w:t xml:space="preserve"> Enterprise, Jiangs</w:t>
      </w:r>
      <w:r w:rsidR="00152275">
        <w:rPr>
          <w:rFonts w:ascii="Times New Roman" w:hAnsi="Times New Roman" w:cs="Times New Roman" w:hint="eastAsia"/>
          <w:szCs w:val="21"/>
        </w:rPr>
        <w:t>u</w:t>
      </w:r>
      <w:r w:rsidRPr="00FC265B">
        <w:rPr>
          <w:rFonts w:ascii="Times New Roman" w:hAnsi="Times New Roman" w:cs="Times New Roman"/>
          <w:szCs w:val="21"/>
        </w:rPr>
        <w:t xml:space="preserve"> and Guangdon</w:t>
      </w:r>
      <w:r w:rsidR="00152275">
        <w:rPr>
          <w:rFonts w:ascii="Times New Roman" w:hAnsi="Times New Roman" w:cs="Times New Roman" w:hint="eastAsia"/>
          <w:szCs w:val="21"/>
        </w:rPr>
        <w:t xml:space="preserve">g </w:t>
      </w:r>
      <w:r w:rsidRPr="00FC265B">
        <w:rPr>
          <w:rFonts w:ascii="Times New Roman" w:hAnsi="Times New Roman" w:cs="Times New Roman"/>
          <w:szCs w:val="21"/>
        </w:rPr>
        <w:t xml:space="preserve">provincial‑level Industrial‑Design Centres, Jiangsu Provincial First‑Set Major‑Equipment recognition, </w:t>
      </w:r>
      <w:r w:rsidR="00152275">
        <w:rPr>
          <w:rFonts w:ascii="Times New Roman" w:hAnsi="Times New Roman" w:cs="Times New Roman" w:hint="eastAsia"/>
          <w:szCs w:val="21"/>
        </w:rPr>
        <w:t>GGII</w:t>
      </w:r>
      <w:r w:rsidRPr="00FC265B">
        <w:rPr>
          <w:rFonts w:ascii="Times New Roman" w:hAnsi="Times New Roman" w:cs="Times New Roman"/>
          <w:szCs w:val="21"/>
        </w:rPr>
        <w:t xml:space="preserve"> Golden Globe Award, and strategic‑preferred and excellent supplier </w:t>
      </w:r>
      <w:r w:rsidR="00152275">
        <w:rPr>
          <w:rFonts w:ascii="Times New Roman" w:hAnsi="Times New Roman" w:cs="Times New Roman" w:hint="eastAsia"/>
          <w:szCs w:val="21"/>
        </w:rPr>
        <w:t>recognitions from</w:t>
      </w:r>
      <w:r w:rsidR="00694D1B">
        <w:rPr>
          <w:rFonts w:ascii="Times New Roman" w:hAnsi="Times New Roman" w:cs="Times New Roman"/>
          <w:szCs w:val="21"/>
        </w:rPr>
        <w:t xml:space="preserve"> industry</w:t>
      </w:r>
      <w:r w:rsidR="00152275">
        <w:rPr>
          <w:rFonts w:ascii="Times New Roman" w:hAnsi="Times New Roman" w:cs="Times New Roman" w:hint="eastAsia"/>
          <w:szCs w:val="21"/>
        </w:rPr>
        <w:t xml:space="preserve"> leading</w:t>
      </w:r>
      <w:r w:rsidR="00694D1B">
        <w:rPr>
          <w:rFonts w:ascii="Times New Roman" w:hAnsi="Times New Roman" w:cs="Times New Roman"/>
          <w:szCs w:val="21"/>
        </w:rPr>
        <w:t xml:space="preserve"> customers.</w:t>
      </w:r>
    </w:p>
    <w:p w14:paraId="1D1A5D97" w14:textId="44B51B09" w:rsidR="00FC265B" w:rsidRPr="00FC265B" w:rsidRDefault="00FC265B" w:rsidP="00FC265B">
      <w:pPr>
        <w:spacing w:line="360" w:lineRule="auto"/>
        <w:ind w:firstLineChars="200" w:firstLine="420"/>
        <w:rPr>
          <w:rFonts w:ascii="Times New Roman" w:hAnsi="Times New Roman" w:cs="Times New Roman"/>
          <w:b/>
          <w:szCs w:val="21"/>
        </w:rPr>
      </w:pPr>
      <w:r w:rsidRPr="00FC265B">
        <w:rPr>
          <w:rFonts w:ascii="Times New Roman" w:hAnsi="Times New Roman" w:cs="Times New Roman"/>
          <w:b/>
          <w:szCs w:val="21"/>
        </w:rPr>
        <w:t xml:space="preserve"> 1. New‑Energy Battery Materials and Services</w:t>
      </w:r>
    </w:p>
    <w:p w14:paraId="6AC5A066" w14:textId="7E5DA0C8" w:rsidR="00FC265B" w:rsidRPr="00FC265B" w:rsidRDefault="00B2239E" w:rsidP="00FC265B">
      <w:pPr>
        <w:spacing w:line="360" w:lineRule="auto"/>
        <w:ind w:firstLineChars="200" w:firstLine="420"/>
        <w:rPr>
          <w:rFonts w:ascii="Times New Roman" w:hAnsi="Times New Roman" w:cs="Times New Roman"/>
          <w:b/>
          <w:szCs w:val="21"/>
        </w:rPr>
      </w:pPr>
      <w:r>
        <w:rPr>
          <w:rFonts w:ascii="Times New Roman" w:hAnsi="Times New Roman" w:cs="Times New Roman"/>
          <w:b/>
          <w:szCs w:val="21"/>
        </w:rPr>
        <w:t xml:space="preserve"> (1) Separator</w:t>
      </w:r>
      <w:r w:rsidR="00FC265B" w:rsidRPr="00FC265B">
        <w:rPr>
          <w:rFonts w:ascii="Times New Roman" w:hAnsi="Times New Roman" w:cs="Times New Roman"/>
          <w:b/>
          <w:szCs w:val="21"/>
        </w:rPr>
        <w:t>‑Materials and Coating‑Processing Business</w:t>
      </w:r>
    </w:p>
    <w:p w14:paraId="421C4A8E" w14:textId="1F684C61" w:rsidR="00FC265B" w:rsidRPr="00FC265B" w:rsidRDefault="00443B5A" w:rsidP="00FC265B">
      <w:pPr>
        <w:spacing w:line="360" w:lineRule="auto"/>
        <w:ind w:firstLineChars="200" w:firstLine="420"/>
        <w:rPr>
          <w:rFonts w:ascii="Times New Roman" w:hAnsi="Times New Roman" w:cs="Times New Roman"/>
          <w:szCs w:val="21"/>
        </w:rPr>
      </w:pPr>
      <w:r>
        <w:rPr>
          <w:rFonts w:ascii="Times New Roman" w:hAnsi="Times New Roman" w:cs="Times New Roman" w:hint="eastAsia"/>
          <w:szCs w:val="21"/>
        </w:rPr>
        <w:t>The Company</w:t>
      </w:r>
      <w:r w:rsidRPr="00FC265B">
        <w:rPr>
          <w:rFonts w:ascii="Times New Roman" w:hAnsi="Times New Roman" w:cs="Times New Roman"/>
          <w:szCs w:val="21"/>
        </w:rPr>
        <w:t xml:space="preserve"> </w:t>
      </w:r>
      <w:r w:rsidR="00FC265B" w:rsidRPr="00FC265B">
        <w:rPr>
          <w:rFonts w:ascii="Times New Roman" w:hAnsi="Times New Roman" w:cs="Times New Roman"/>
          <w:szCs w:val="21"/>
        </w:rPr>
        <w:t xml:space="preserve">is the world’s most efficient base‑film manufacturer, with self‑developed equipment delivering industry‑leading productivity. Presently, base‑film equipment deployed for mass‑production achieves single‑line output of 300 million square metres per annum. </w:t>
      </w:r>
      <w:r w:rsidR="00152275">
        <w:rPr>
          <w:rFonts w:ascii="Times New Roman" w:hAnsi="Times New Roman" w:cs="Times New Roman" w:hint="eastAsia"/>
          <w:szCs w:val="21"/>
        </w:rPr>
        <w:t>The n</w:t>
      </w:r>
      <w:r w:rsidR="00152275" w:rsidRPr="00FC265B">
        <w:rPr>
          <w:rFonts w:ascii="Times New Roman" w:hAnsi="Times New Roman" w:cs="Times New Roman"/>
          <w:szCs w:val="21"/>
        </w:rPr>
        <w:t>ext</w:t>
      </w:r>
      <w:r w:rsidR="00FC265B" w:rsidRPr="00FC265B">
        <w:rPr>
          <w:rFonts w:ascii="Times New Roman" w:hAnsi="Times New Roman" w:cs="Times New Roman"/>
          <w:szCs w:val="21"/>
        </w:rPr>
        <w:t>‑generation equipment is planned for single‑line capacity exceeding 500 million square metres per annum, with materially superior unit‑capital‑expenditure per</w:t>
      </w:r>
      <w:r w:rsidR="00FC265B">
        <w:rPr>
          <w:rFonts w:ascii="Times New Roman" w:hAnsi="Times New Roman" w:cs="Times New Roman"/>
          <w:szCs w:val="21"/>
        </w:rPr>
        <w:t>formance versus industry peers.</w:t>
      </w:r>
    </w:p>
    <w:p w14:paraId="096950F4" w14:textId="32EA9179" w:rsidR="00FC265B" w:rsidRPr="00FC265B" w:rsidRDefault="009F1EA8" w:rsidP="00FC265B">
      <w:pPr>
        <w:spacing w:line="360" w:lineRule="auto"/>
        <w:ind w:firstLineChars="200" w:firstLine="420"/>
        <w:rPr>
          <w:rFonts w:ascii="Times New Roman" w:hAnsi="Times New Roman" w:cs="Times New Roman"/>
          <w:szCs w:val="21"/>
        </w:rPr>
      </w:pPr>
      <w:r>
        <w:rPr>
          <w:rFonts w:ascii="Times New Roman" w:hAnsi="Times New Roman" w:cs="Times New Roman" w:hint="eastAsia"/>
          <w:szCs w:val="21"/>
        </w:rPr>
        <w:t>The Company is</w:t>
      </w:r>
      <w:r w:rsidR="00FC265B" w:rsidRPr="00FC265B">
        <w:rPr>
          <w:rFonts w:ascii="Times New Roman" w:hAnsi="Times New Roman" w:cs="Times New Roman"/>
          <w:szCs w:val="21"/>
        </w:rPr>
        <w:t xml:space="preserve"> the world’s largest independent coated‑separator processor. Its self‑developed coating</w:t>
      </w:r>
      <w:r>
        <w:rPr>
          <w:rFonts w:ascii="Times New Roman" w:hAnsi="Times New Roman" w:cs="Times New Roman" w:hint="eastAsia"/>
          <w:szCs w:val="21"/>
        </w:rPr>
        <w:t xml:space="preserve"> equipment</w:t>
      </w:r>
      <w:r w:rsidR="00FC265B" w:rsidRPr="00FC265B">
        <w:rPr>
          <w:rFonts w:ascii="Times New Roman" w:hAnsi="Times New Roman" w:cs="Times New Roman"/>
          <w:szCs w:val="21"/>
        </w:rPr>
        <w:t xml:space="preserve"> achieve world‑leading productivity and automation levels. During the reporting period, high‑speed coating‑equipment running above 300 m/min is under development and validation, with breakthroughs realised for novel advanced processes. </w:t>
      </w:r>
      <w:r>
        <w:rPr>
          <w:rFonts w:ascii="Times New Roman" w:hAnsi="Times New Roman" w:cs="Times New Roman" w:hint="eastAsia"/>
          <w:szCs w:val="21"/>
        </w:rPr>
        <w:t>Through m</w:t>
      </w:r>
      <w:r w:rsidR="00FC265B" w:rsidRPr="00FC265B">
        <w:rPr>
          <w:rFonts w:ascii="Times New Roman" w:hAnsi="Times New Roman" w:cs="Times New Roman"/>
          <w:szCs w:val="21"/>
        </w:rPr>
        <w:t xml:space="preserve">ulti‑level hybrid innovation </w:t>
      </w:r>
      <w:r>
        <w:rPr>
          <w:rFonts w:ascii="Times New Roman" w:hAnsi="Times New Roman" w:cs="Times New Roman" w:hint="eastAsia"/>
          <w:szCs w:val="21"/>
        </w:rPr>
        <w:t>in</w:t>
      </w:r>
      <w:r w:rsidR="00FC265B" w:rsidRPr="00FC265B">
        <w:rPr>
          <w:rFonts w:ascii="Times New Roman" w:hAnsi="Times New Roman" w:cs="Times New Roman"/>
          <w:szCs w:val="21"/>
        </w:rPr>
        <w:t xml:space="preserve"> materials and processes</w:t>
      </w:r>
      <w:r>
        <w:rPr>
          <w:rFonts w:ascii="Times New Roman" w:hAnsi="Times New Roman" w:cs="Times New Roman" w:hint="eastAsia"/>
          <w:szCs w:val="21"/>
        </w:rPr>
        <w:t>, the Company</w:t>
      </w:r>
      <w:r w:rsidR="00FC265B" w:rsidRPr="00FC265B">
        <w:rPr>
          <w:rFonts w:ascii="Times New Roman" w:hAnsi="Times New Roman" w:cs="Times New Roman"/>
          <w:szCs w:val="21"/>
        </w:rPr>
        <w:t xml:space="preserve"> </w:t>
      </w:r>
      <w:r>
        <w:rPr>
          <w:rFonts w:ascii="Times New Roman" w:hAnsi="Times New Roman" w:cs="Times New Roman" w:hint="eastAsia"/>
          <w:szCs w:val="21"/>
        </w:rPr>
        <w:t>has achieved</w:t>
      </w:r>
      <w:r w:rsidR="00FC265B" w:rsidRPr="00FC265B">
        <w:rPr>
          <w:rFonts w:ascii="Times New Roman" w:hAnsi="Times New Roman" w:cs="Times New Roman"/>
          <w:szCs w:val="21"/>
        </w:rPr>
        <w:t xml:space="preserve"> continuous performance improvement </w:t>
      </w:r>
      <w:r>
        <w:rPr>
          <w:rFonts w:ascii="Times New Roman" w:hAnsi="Times New Roman" w:cs="Times New Roman" w:hint="eastAsia"/>
          <w:szCs w:val="21"/>
        </w:rPr>
        <w:t>in</w:t>
      </w:r>
      <w:r w:rsidR="00FC265B" w:rsidRPr="00FC265B">
        <w:rPr>
          <w:rFonts w:ascii="Times New Roman" w:hAnsi="Times New Roman" w:cs="Times New Roman"/>
          <w:szCs w:val="21"/>
        </w:rPr>
        <w:t xml:space="preserve"> coated separators </w:t>
      </w:r>
      <w:r w:rsidRPr="009F1EA8">
        <w:rPr>
          <w:rFonts w:ascii="Times New Roman" w:hAnsi="Times New Roman" w:cs="Times New Roman"/>
          <w:szCs w:val="21"/>
        </w:rPr>
        <w:t>that transcends any single chemical system</w:t>
      </w:r>
      <w:r>
        <w:rPr>
          <w:rFonts w:ascii="Times New Roman" w:hAnsi="Times New Roman" w:cs="Times New Roman" w:hint="eastAsia"/>
          <w:szCs w:val="21"/>
        </w:rPr>
        <w:t xml:space="preserve">, and is capable of delivering </w:t>
      </w:r>
      <w:r w:rsidR="00FC265B" w:rsidRPr="00FC265B">
        <w:rPr>
          <w:rFonts w:ascii="Times New Roman" w:hAnsi="Times New Roman" w:cs="Times New Roman"/>
          <w:szCs w:val="21"/>
        </w:rPr>
        <w:t xml:space="preserve">a matrix of high‑precision coated products </w:t>
      </w:r>
      <w:r>
        <w:rPr>
          <w:rFonts w:ascii="Times New Roman" w:hAnsi="Times New Roman" w:cs="Times New Roman" w:hint="eastAsia"/>
          <w:szCs w:val="21"/>
        </w:rPr>
        <w:t xml:space="preserve">as well as </w:t>
      </w:r>
      <w:r w:rsidR="00FC265B" w:rsidRPr="00FC265B">
        <w:rPr>
          <w:rFonts w:ascii="Times New Roman" w:hAnsi="Times New Roman" w:cs="Times New Roman"/>
          <w:szCs w:val="21"/>
        </w:rPr>
        <w:t xml:space="preserve"> differentiated coating‑solutions </w:t>
      </w:r>
      <w:r>
        <w:rPr>
          <w:rFonts w:ascii="Times New Roman" w:hAnsi="Times New Roman" w:cs="Times New Roman" w:hint="eastAsia"/>
          <w:szCs w:val="21"/>
        </w:rPr>
        <w:t>adaptable to</w:t>
      </w:r>
      <w:r w:rsidR="00FC265B" w:rsidRPr="00FC265B">
        <w:rPr>
          <w:rFonts w:ascii="Times New Roman" w:hAnsi="Times New Roman" w:cs="Times New Roman"/>
          <w:szCs w:val="21"/>
        </w:rPr>
        <w:t xml:space="preserve"> di</w:t>
      </w:r>
      <w:r w:rsidR="00FC265B">
        <w:rPr>
          <w:rFonts w:ascii="Times New Roman" w:hAnsi="Times New Roman" w:cs="Times New Roman"/>
          <w:szCs w:val="21"/>
        </w:rPr>
        <w:t>verse coating‑material systems.</w:t>
      </w:r>
    </w:p>
    <w:p w14:paraId="1F5EB99E" w14:textId="5D21356F" w:rsidR="00FC265B" w:rsidRPr="00FC265B" w:rsidRDefault="009F1EA8" w:rsidP="00694D1B">
      <w:pPr>
        <w:spacing w:line="360" w:lineRule="auto"/>
        <w:ind w:firstLineChars="200" w:firstLine="420"/>
        <w:rPr>
          <w:rFonts w:ascii="Times New Roman" w:hAnsi="Times New Roman" w:cs="Times New Roman"/>
          <w:szCs w:val="21"/>
        </w:rPr>
      </w:pPr>
      <w:r>
        <w:rPr>
          <w:rFonts w:ascii="Times New Roman" w:hAnsi="Times New Roman" w:cs="Times New Roman" w:hint="eastAsia"/>
          <w:szCs w:val="21"/>
        </w:rPr>
        <w:t>The Company</w:t>
      </w:r>
      <w:r>
        <w:rPr>
          <w:rFonts w:ascii="Times New Roman" w:hAnsi="Times New Roman" w:cs="Times New Roman"/>
          <w:szCs w:val="21"/>
        </w:rPr>
        <w:t>’</w:t>
      </w:r>
      <w:r>
        <w:rPr>
          <w:rFonts w:ascii="Times New Roman" w:hAnsi="Times New Roman" w:cs="Times New Roman" w:hint="eastAsia"/>
          <w:szCs w:val="21"/>
        </w:rPr>
        <w:t>s</w:t>
      </w:r>
      <w:r w:rsidRPr="00FC265B">
        <w:rPr>
          <w:rFonts w:ascii="Times New Roman" w:hAnsi="Times New Roman" w:cs="Times New Roman"/>
          <w:szCs w:val="21"/>
        </w:rPr>
        <w:t xml:space="preserve"> </w:t>
      </w:r>
      <w:r w:rsidR="00FC265B" w:rsidRPr="00FC265B">
        <w:rPr>
          <w:rFonts w:ascii="Times New Roman" w:hAnsi="Times New Roman" w:cs="Times New Roman"/>
          <w:szCs w:val="21"/>
        </w:rPr>
        <w:t>aluminium‑</w:t>
      </w:r>
      <w:r>
        <w:rPr>
          <w:rFonts w:ascii="Times New Roman" w:hAnsi="Times New Roman" w:cs="Times New Roman" w:hint="eastAsia"/>
          <w:szCs w:val="21"/>
        </w:rPr>
        <w:t>laminated</w:t>
      </w:r>
      <w:r w:rsidR="00FC265B" w:rsidRPr="00FC265B">
        <w:rPr>
          <w:rFonts w:ascii="Times New Roman" w:hAnsi="Times New Roman" w:cs="Times New Roman"/>
          <w:szCs w:val="21"/>
        </w:rPr>
        <w:t xml:space="preserve">‑film have achieved mass shipments within consumer‑electronics applications, with product‑certification work ongoing for low‑power‑battery scenarios. </w:t>
      </w:r>
      <w:r>
        <w:rPr>
          <w:rFonts w:ascii="Times New Roman" w:hAnsi="Times New Roman" w:cs="Times New Roman" w:hint="eastAsia"/>
          <w:szCs w:val="21"/>
        </w:rPr>
        <w:t>The Company</w:t>
      </w:r>
      <w:r w:rsidRPr="00FC265B">
        <w:rPr>
          <w:rFonts w:ascii="Times New Roman" w:hAnsi="Times New Roman" w:cs="Times New Roman"/>
          <w:szCs w:val="21"/>
        </w:rPr>
        <w:t xml:space="preserve"> </w:t>
      </w:r>
      <w:r w:rsidR="00FC265B" w:rsidRPr="00FC265B">
        <w:rPr>
          <w:rFonts w:ascii="Times New Roman" w:hAnsi="Times New Roman" w:cs="Times New Roman"/>
          <w:szCs w:val="21"/>
        </w:rPr>
        <w:t>has completed domestic‑localisation development for raw materials, equipment and processes associated with a</w:t>
      </w:r>
      <w:r w:rsidR="00C514A4" w:rsidRPr="00C514A4">
        <w:rPr>
          <w:rFonts w:ascii="Times New Roman" w:hAnsi="Times New Roman" w:cs="Times New Roman"/>
          <w:szCs w:val="21"/>
        </w:rPr>
        <w:t xml:space="preserve"> </w:t>
      </w:r>
      <w:r w:rsidR="00C514A4" w:rsidRPr="00FC265B">
        <w:rPr>
          <w:rFonts w:ascii="Times New Roman" w:hAnsi="Times New Roman" w:cs="Times New Roman"/>
          <w:szCs w:val="21"/>
        </w:rPr>
        <w:t>aluminium‑</w:t>
      </w:r>
      <w:r w:rsidR="00C514A4">
        <w:rPr>
          <w:rFonts w:ascii="Times New Roman" w:hAnsi="Times New Roman" w:cs="Times New Roman" w:hint="eastAsia"/>
          <w:szCs w:val="21"/>
        </w:rPr>
        <w:t>laminated</w:t>
      </w:r>
      <w:r w:rsidR="00C514A4" w:rsidRPr="00FC265B">
        <w:rPr>
          <w:rFonts w:ascii="Times New Roman" w:hAnsi="Times New Roman" w:cs="Times New Roman"/>
          <w:szCs w:val="21"/>
        </w:rPr>
        <w:t>‑film</w:t>
      </w:r>
      <w:r w:rsidR="00FC265B" w:rsidRPr="00FC265B">
        <w:rPr>
          <w:rFonts w:ascii="Times New Roman" w:hAnsi="Times New Roman" w:cs="Times New Roman"/>
          <w:szCs w:val="21"/>
        </w:rPr>
        <w:t>. Certain product‑performance metrics surpass overseas competitors, delivering notable</w:t>
      </w:r>
      <w:r w:rsidR="00694D1B">
        <w:rPr>
          <w:rFonts w:ascii="Times New Roman" w:hAnsi="Times New Roman" w:cs="Times New Roman"/>
          <w:szCs w:val="21"/>
        </w:rPr>
        <w:t xml:space="preserve"> comprehensive‑cost advantages.</w:t>
      </w:r>
    </w:p>
    <w:p w14:paraId="759F1846" w14:textId="0D3D79F1" w:rsidR="00FC265B" w:rsidRPr="00FC265B" w:rsidRDefault="00FC265B" w:rsidP="00FC265B">
      <w:pPr>
        <w:spacing w:line="360" w:lineRule="auto"/>
        <w:ind w:firstLineChars="200" w:firstLine="420"/>
        <w:rPr>
          <w:rFonts w:ascii="Times New Roman" w:hAnsi="Times New Roman" w:cs="Times New Roman"/>
          <w:b/>
          <w:szCs w:val="21"/>
        </w:rPr>
      </w:pPr>
      <w:r w:rsidRPr="00FC265B">
        <w:rPr>
          <w:rFonts w:ascii="Times New Roman" w:hAnsi="Times New Roman" w:cs="Times New Roman"/>
          <w:b/>
          <w:szCs w:val="21"/>
        </w:rPr>
        <w:t xml:space="preserve"> (2) Anode Materials</w:t>
      </w:r>
    </w:p>
    <w:p w14:paraId="2716AB6E" w14:textId="2B337DF5" w:rsidR="00FC265B" w:rsidRPr="00FC265B" w:rsidRDefault="00C514A4" w:rsidP="00694D1B">
      <w:pPr>
        <w:spacing w:line="360" w:lineRule="auto"/>
        <w:ind w:firstLineChars="200" w:firstLine="420"/>
        <w:rPr>
          <w:rFonts w:ascii="Times New Roman" w:hAnsi="Times New Roman" w:cs="Times New Roman"/>
          <w:szCs w:val="21"/>
        </w:rPr>
      </w:pPr>
      <w:r>
        <w:rPr>
          <w:rFonts w:ascii="Times New Roman" w:hAnsi="Times New Roman" w:cs="Times New Roman" w:hint="eastAsia"/>
          <w:szCs w:val="21"/>
        </w:rPr>
        <w:t>The</w:t>
      </w:r>
      <w:r w:rsidRPr="00FC265B">
        <w:rPr>
          <w:rFonts w:ascii="Times New Roman" w:hAnsi="Times New Roman" w:cs="Times New Roman"/>
          <w:szCs w:val="21"/>
        </w:rPr>
        <w:t xml:space="preserve"> </w:t>
      </w:r>
      <w:r w:rsidR="00FC265B" w:rsidRPr="00FC265B">
        <w:rPr>
          <w:rFonts w:ascii="Times New Roman" w:hAnsi="Times New Roman" w:cs="Times New Roman"/>
          <w:szCs w:val="21"/>
        </w:rPr>
        <w:t xml:space="preserve">technical team </w:t>
      </w:r>
      <w:r>
        <w:rPr>
          <w:rFonts w:ascii="Times New Roman" w:hAnsi="Times New Roman" w:cs="Times New Roman" w:hint="eastAsia"/>
          <w:szCs w:val="21"/>
        </w:rPr>
        <w:t xml:space="preserve">of the Company </w:t>
      </w:r>
      <w:r w:rsidR="00FC265B" w:rsidRPr="00FC265B">
        <w:rPr>
          <w:rFonts w:ascii="Times New Roman" w:hAnsi="Times New Roman" w:cs="Times New Roman"/>
          <w:szCs w:val="21"/>
        </w:rPr>
        <w:t xml:space="preserve">possesses profound theoretical expertise in carbon‑based materials, with product‑R&amp;D capabilities enabling rapid response to diverse‑application‑scenario and performance‑specification requirements from customers. </w:t>
      </w:r>
      <w:r>
        <w:rPr>
          <w:rFonts w:ascii="Times New Roman" w:hAnsi="Times New Roman" w:cs="Times New Roman" w:hint="eastAsia"/>
          <w:szCs w:val="21"/>
        </w:rPr>
        <w:t xml:space="preserve">Leveraging product characteristics such as </w:t>
      </w:r>
      <w:r w:rsidR="00FC265B" w:rsidRPr="00FC265B">
        <w:rPr>
          <w:rFonts w:ascii="Times New Roman" w:hAnsi="Times New Roman" w:cs="Times New Roman"/>
          <w:szCs w:val="21"/>
        </w:rPr>
        <w:t xml:space="preserve">high capacity, high compaction density, low expansion, long cycle life and fast‑charging, </w:t>
      </w:r>
      <w:r>
        <w:rPr>
          <w:rFonts w:ascii="Times New Roman" w:hAnsi="Times New Roman" w:cs="Times New Roman" w:hint="eastAsia"/>
          <w:szCs w:val="21"/>
        </w:rPr>
        <w:lastRenderedPageBreak/>
        <w:t>the Company</w:t>
      </w:r>
      <w:r w:rsidRPr="00FC265B">
        <w:rPr>
          <w:rFonts w:ascii="Times New Roman" w:hAnsi="Times New Roman" w:cs="Times New Roman"/>
          <w:szCs w:val="21"/>
        </w:rPr>
        <w:t xml:space="preserve"> </w:t>
      </w:r>
      <w:r>
        <w:rPr>
          <w:rFonts w:ascii="Times New Roman" w:hAnsi="Times New Roman" w:cs="Times New Roman" w:hint="eastAsia"/>
          <w:szCs w:val="21"/>
        </w:rPr>
        <w:t xml:space="preserve">holds a </w:t>
      </w:r>
      <w:r w:rsidR="00FC265B" w:rsidRPr="00FC265B">
        <w:rPr>
          <w:rFonts w:ascii="Times New Roman" w:hAnsi="Times New Roman" w:cs="Times New Roman"/>
          <w:szCs w:val="21"/>
        </w:rPr>
        <w:t>leading position in</w:t>
      </w:r>
      <w:r>
        <w:rPr>
          <w:rFonts w:ascii="Times New Roman" w:hAnsi="Times New Roman" w:cs="Times New Roman" w:hint="eastAsia"/>
          <w:szCs w:val="21"/>
        </w:rPr>
        <w:t xml:space="preserve"> the </w:t>
      </w:r>
      <w:r w:rsidR="00FC265B" w:rsidRPr="00FC265B">
        <w:rPr>
          <w:rFonts w:ascii="Times New Roman" w:hAnsi="Times New Roman" w:cs="Times New Roman"/>
          <w:szCs w:val="21"/>
        </w:rPr>
        <w:t xml:space="preserve">global mid‑to‑high‑end consumer‑electronics and power‑battery segments. </w:t>
      </w:r>
      <w:r>
        <w:rPr>
          <w:rFonts w:ascii="Times New Roman" w:hAnsi="Times New Roman" w:cs="Times New Roman" w:hint="eastAsia"/>
          <w:szCs w:val="21"/>
        </w:rPr>
        <w:t>The Company</w:t>
      </w:r>
      <w:r w:rsidRPr="00FC265B">
        <w:rPr>
          <w:rFonts w:ascii="Times New Roman" w:hAnsi="Times New Roman" w:cs="Times New Roman"/>
          <w:szCs w:val="21"/>
        </w:rPr>
        <w:t xml:space="preserve"> </w:t>
      </w:r>
      <w:r w:rsidR="00FC265B" w:rsidRPr="00FC265B">
        <w:rPr>
          <w:rFonts w:ascii="Times New Roman" w:hAnsi="Times New Roman" w:cs="Times New Roman"/>
          <w:szCs w:val="21"/>
        </w:rPr>
        <w:t xml:space="preserve">delivers industry‑leading performance metrics for integrated‑solutions covering biomass‑derived graphite, silicon‑carbon materials, hard carbon and single‑walled carbon nanotubes. </w:t>
      </w:r>
      <w:r>
        <w:rPr>
          <w:rFonts w:ascii="Times New Roman" w:hAnsi="Times New Roman" w:cs="Times New Roman" w:hint="eastAsia"/>
          <w:szCs w:val="21"/>
        </w:rPr>
        <w:t xml:space="preserve">The new </w:t>
      </w:r>
      <w:r w:rsidR="00FC265B" w:rsidRPr="00FC265B">
        <w:rPr>
          <w:rFonts w:ascii="Times New Roman" w:hAnsi="Times New Roman" w:cs="Times New Roman"/>
          <w:szCs w:val="21"/>
        </w:rPr>
        <w:t xml:space="preserve">fast‑charging‑anode </w:t>
      </w:r>
      <w:r>
        <w:rPr>
          <w:rFonts w:ascii="Times New Roman" w:hAnsi="Times New Roman" w:cs="Times New Roman" w:hint="eastAsia"/>
          <w:szCs w:val="21"/>
        </w:rPr>
        <w:t>meets</w:t>
      </w:r>
      <w:r w:rsidR="00FC265B" w:rsidRPr="00FC265B">
        <w:rPr>
          <w:rFonts w:ascii="Times New Roman" w:hAnsi="Times New Roman" w:cs="Times New Roman"/>
          <w:szCs w:val="21"/>
        </w:rPr>
        <w:t xml:space="preserve"> 6C</w:t>
      </w:r>
      <w:r>
        <w:rPr>
          <w:rFonts w:ascii="Times New Roman" w:hAnsi="Times New Roman" w:cs="Times New Roman" w:hint="eastAsia"/>
          <w:szCs w:val="21"/>
        </w:rPr>
        <w:t xml:space="preserve"> fast charging</w:t>
      </w:r>
      <w:r w:rsidR="00FC265B" w:rsidRPr="00FC265B">
        <w:rPr>
          <w:rFonts w:ascii="Times New Roman" w:hAnsi="Times New Roman" w:cs="Times New Roman"/>
          <w:szCs w:val="21"/>
        </w:rPr>
        <w:t xml:space="preserve"> performance requirements, and can achieve 8‑10C fast‑charging performance when deployed with in‑house binders. Relevant products have obtained certification and mass‑shipping approvals from multiple customers. </w:t>
      </w:r>
      <w:r w:rsidR="00443B5A">
        <w:rPr>
          <w:rFonts w:ascii="Times New Roman" w:hAnsi="Times New Roman" w:cs="Times New Roman" w:hint="eastAsia"/>
          <w:szCs w:val="21"/>
        </w:rPr>
        <w:t xml:space="preserve">The </w:t>
      </w:r>
      <w:r w:rsidR="00FC265B" w:rsidRPr="00FC265B">
        <w:rPr>
          <w:rFonts w:ascii="Times New Roman" w:hAnsi="Times New Roman" w:cs="Times New Roman"/>
          <w:szCs w:val="21"/>
        </w:rPr>
        <w:t xml:space="preserve">biomass‑graphite products exhibit superior cycle‑life performance and lower expansion than natural graphite at 45 °C, </w:t>
      </w:r>
      <w:r w:rsidR="00443B5A" w:rsidRPr="00443B5A">
        <w:rPr>
          <w:rFonts w:ascii="Times New Roman" w:hAnsi="Times New Roman" w:cs="Times New Roman"/>
          <w:szCs w:val="21"/>
        </w:rPr>
        <w:t>with the potential to bring a</w:t>
      </w:r>
      <w:r w:rsidR="00FC265B" w:rsidRPr="00FC265B">
        <w:rPr>
          <w:rFonts w:ascii="Times New Roman" w:hAnsi="Times New Roman" w:cs="Times New Roman"/>
          <w:szCs w:val="21"/>
        </w:rPr>
        <w:t xml:space="preserve"> “negative‑carbon‑footprint” solutions for graphite‑anode industries. Spherical‑silicon‑anode products achieve industry‑leading metrics for capacity and initial‑coulombic efficiency. Diversified hard‑carbon‑anode products using feedstocks such as biomass, resin and anthracite coal are poised for mass‑scale deployment in sodium‑</w:t>
      </w:r>
      <w:r w:rsidR="00694D1B">
        <w:rPr>
          <w:rFonts w:ascii="Times New Roman" w:hAnsi="Times New Roman" w:cs="Times New Roman"/>
          <w:szCs w:val="21"/>
        </w:rPr>
        <w:t>ion‑battery applications.</w:t>
      </w:r>
    </w:p>
    <w:p w14:paraId="4D5ADDBC" w14:textId="0A7BBEC3" w:rsidR="00FC265B" w:rsidRPr="00FC265B" w:rsidRDefault="00FC265B" w:rsidP="00FC265B">
      <w:pPr>
        <w:spacing w:line="360" w:lineRule="auto"/>
        <w:ind w:firstLineChars="200" w:firstLine="420"/>
        <w:rPr>
          <w:rFonts w:ascii="Times New Roman" w:hAnsi="Times New Roman" w:cs="Times New Roman"/>
          <w:b/>
          <w:szCs w:val="21"/>
        </w:rPr>
      </w:pPr>
      <w:r w:rsidRPr="00FC265B">
        <w:rPr>
          <w:rFonts w:ascii="Times New Roman" w:hAnsi="Times New Roman" w:cs="Times New Roman"/>
          <w:b/>
          <w:szCs w:val="21"/>
        </w:rPr>
        <w:t xml:space="preserve"> (3) Functional Materials</w:t>
      </w:r>
    </w:p>
    <w:p w14:paraId="475A60FC" w14:textId="5537DA74" w:rsidR="00FC265B" w:rsidRPr="00FC265B" w:rsidRDefault="00443B5A" w:rsidP="00694D1B">
      <w:pPr>
        <w:spacing w:line="360" w:lineRule="auto"/>
        <w:ind w:firstLineChars="200" w:firstLine="420"/>
        <w:rPr>
          <w:rFonts w:ascii="Times New Roman" w:hAnsi="Times New Roman" w:cs="Times New Roman"/>
          <w:szCs w:val="21"/>
        </w:rPr>
      </w:pPr>
      <w:r>
        <w:rPr>
          <w:rFonts w:ascii="Times New Roman" w:hAnsi="Times New Roman" w:cs="Times New Roman" w:hint="eastAsia"/>
          <w:szCs w:val="21"/>
        </w:rPr>
        <w:t>The Company</w:t>
      </w:r>
      <w:r w:rsidRPr="00FC265B">
        <w:rPr>
          <w:rFonts w:ascii="Times New Roman" w:hAnsi="Times New Roman" w:cs="Times New Roman"/>
          <w:szCs w:val="21"/>
        </w:rPr>
        <w:t xml:space="preserve"> </w:t>
      </w:r>
      <w:r w:rsidR="00FC265B" w:rsidRPr="00FC265B">
        <w:rPr>
          <w:rFonts w:ascii="Times New Roman" w:hAnsi="Times New Roman" w:cs="Times New Roman"/>
          <w:szCs w:val="21"/>
        </w:rPr>
        <w:t xml:space="preserve">has long‑standing expertise in new‑energy‑battery‑functional‑material segments, with deep insights into manufacturing processes, product performance and market </w:t>
      </w:r>
      <w:r>
        <w:rPr>
          <w:rFonts w:ascii="Times New Roman" w:hAnsi="Times New Roman" w:cs="Times New Roman" w:hint="eastAsia"/>
          <w:szCs w:val="21"/>
        </w:rPr>
        <w:t>demand</w:t>
      </w:r>
      <w:r w:rsidR="00FC265B" w:rsidRPr="00FC265B">
        <w:rPr>
          <w:rFonts w:ascii="Times New Roman" w:hAnsi="Times New Roman" w:cs="Times New Roman"/>
          <w:szCs w:val="21"/>
        </w:rPr>
        <w:t xml:space="preserve">. </w:t>
      </w:r>
      <w:r>
        <w:rPr>
          <w:rFonts w:ascii="Times New Roman" w:hAnsi="Times New Roman" w:cs="Times New Roman" w:hint="eastAsia"/>
          <w:szCs w:val="21"/>
        </w:rPr>
        <w:t>It</w:t>
      </w:r>
      <w:r w:rsidR="00FC265B" w:rsidRPr="00FC265B">
        <w:rPr>
          <w:rFonts w:ascii="Times New Roman" w:hAnsi="Times New Roman" w:cs="Times New Roman"/>
          <w:szCs w:val="21"/>
        </w:rPr>
        <w:t xml:space="preserve"> has developed and mass‑produced next‑generation ceramic materials including ultra‑fine alumina, ultra‑fine boehmite and fibrous boehmite for ultra‑thin‑separator‑coating applications, enriching </w:t>
      </w:r>
      <w:r>
        <w:rPr>
          <w:rFonts w:ascii="Times New Roman" w:hAnsi="Times New Roman" w:cs="Times New Roman" w:hint="eastAsia"/>
          <w:szCs w:val="21"/>
        </w:rPr>
        <w:t>the Company</w:t>
      </w:r>
      <w:r>
        <w:rPr>
          <w:rFonts w:ascii="Times New Roman" w:hAnsi="Times New Roman" w:cs="Times New Roman"/>
          <w:szCs w:val="21"/>
        </w:rPr>
        <w:t>’</w:t>
      </w:r>
      <w:r>
        <w:rPr>
          <w:rFonts w:ascii="Times New Roman" w:hAnsi="Times New Roman" w:cs="Times New Roman" w:hint="eastAsia"/>
          <w:szCs w:val="21"/>
        </w:rPr>
        <w:t>s</w:t>
      </w:r>
      <w:r w:rsidR="00FC265B" w:rsidRPr="00FC265B">
        <w:rPr>
          <w:rFonts w:ascii="Times New Roman" w:hAnsi="Times New Roman" w:cs="Times New Roman"/>
          <w:szCs w:val="21"/>
        </w:rPr>
        <w:t xml:space="preserve"> product portfolio and downstream‑application coverage.  </w:t>
      </w:r>
      <w:r>
        <w:rPr>
          <w:rFonts w:ascii="Times New Roman" w:hAnsi="Times New Roman" w:cs="Times New Roman" w:hint="eastAsia"/>
          <w:szCs w:val="21"/>
        </w:rPr>
        <w:t>The Company</w:t>
      </w:r>
      <w:r>
        <w:rPr>
          <w:rFonts w:ascii="Times New Roman" w:hAnsi="Times New Roman" w:cs="Times New Roman"/>
          <w:szCs w:val="21"/>
        </w:rPr>
        <w:t>’</w:t>
      </w:r>
      <w:r>
        <w:rPr>
          <w:rFonts w:ascii="Times New Roman" w:hAnsi="Times New Roman" w:cs="Times New Roman" w:hint="eastAsia"/>
          <w:szCs w:val="21"/>
        </w:rPr>
        <w:t xml:space="preserve">s </w:t>
      </w:r>
      <w:r w:rsidR="00FC265B" w:rsidRPr="00FC265B">
        <w:rPr>
          <w:rFonts w:ascii="Times New Roman" w:hAnsi="Times New Roman" w:cs="Times New Roman"/>
          <w:szCs w:val="21"/>
        </w:rPr>
        <w:t>lithium‑battery‑grade PVDF delivers leading product performance, well‑suited to downstream high‑compaction‑density‑system requirements for binding strength and slurry stability, helping customers achieve cost control via more efficient material consumption. Breakthroughs have been achieved in ternary‑binder technologies, with product‑performance comparable to overseas counterparts. Water‑based binders co‑developed with associated company In</w:t>
      </w:r>
      <w:r>
        <w:rPr>
          <w:rFonts w:ascii="Times New Roman" w:hAnsi="Times New Roman" w:cs="Times New Roman" w:hint="eastAsia"/>
          <w:szCs w:val="21"/>
        </w:rPr>
        <w:t>digo</w:t>
      </w:r>
      <w:r w:rsidR="00FC265B" w:rsidRPr="00FC265B">
        <w:rPr>
          <w:rFonts w:ascii="Times New Roman" w:hAnsi="Times New Roman" w:cs="Times New Roman"/>
          <w:szCs w:val="21"/>
        </w:rPr>
        <w:t xml:space="preserve"> Electric exhibit prominent competitive advantages in binding strength, dosage, heat resistance and electrolyte wettability, effectively strengthening </w:t>
      </w:r>
      <w:r>
        <w:rPr>
          <w:rFonts w:ascii="Times New Roman" w:hAnsi="Times New Roman" w:cs="Times New Roman" w:hint="eastAsia"/>
          <w:szCs w:val="21"/>
        </w:rPr>
        <w:t>the</w:t>
      </w:r>
      <w:r w:rsidR="00FC265B" w:rsidRPr="00FC265B">
        <w:rPr>
          <w:rFonts w:ascii="Times New Roman" w:hAnsi="Times New Roman" w:cs="Times New Roman"/>
          <w:szCs w:val="21"/>
        </w:rPr>
        <w:t xml:space="preserve"> product competitiveness in separator‑coating</w:t>
      </w:r>
      <w:r w:rsidR="00694D1B">
        <w:rPr>
          <w:rFonts w:ascii="Times New Roman" w:hAnsi="Times New Roman" w:cs="Times New Roman"/>
          <w:szCs w:val="21"/>
        </w:rPr>
        <w:t xml:space="preserve"> and anode‑material businesses.</w:t>
      </w:r>
    </w:p>
    <w:p w14:paraId="61037538" w14:textId="0BC113FB"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 xml:space="preserve"> 2. New‑Energy Au</w:t>
      </w:r>
      <w:r>
        <w:rPr>
          <w:rFonts w:ascii="Times New Roman" w:hAnsi="Times New Roman" w:cs="Times New Roman"/>
          <w:szCs w:val="21"/>
        </w:rPr>
        <w:t>tomation Equipment and Services</w:t>
      </w:r>
    </w:p>
    <w:p w14:paraId="1E593144" w14:textId="00FEB3AA" w:rsidR="00FC265B" w:rsidRPr="00FC265B" w:rsidRDefault="00443B5A" w:rsidP="00FC265B">
      <w:pPr>
        <w:spacing w:line="360" w:lineRule="auto"/>
        <w:ind w:firstLineChars="200" w:firstLine="420"/>
        <w:rPr>
          <w:rFonts w:ascii="Times New Roman" w:hAnsi="Times New Roman" w:cs="Times New Roman"/>
          <w:szCs w:val="21"/>
        </w:rPr>
      </w:pPr>
      <w:r>
        <w:rPr>
          <w:rFonts w:ascii="Times New Roman" w:hAnsi="Times New Roman" w:cs="Times New Roman" w:hint="eastAsia"/>
          <w:szCs w:val="21"/>
        </w:rPr>
        <w:t xml:space="preserve">The Company </w:t>
      </w:r>
      <w:r w:rsidR="00FC265B" w:rsidRPr="00FC265B">
        <w:rPr>
          <w:rFonts w:ascii="Times New Roman" w:hAnsi="Times New Roman" w:cs="Times New Roman"/>
          <w:szCs w:val="21"/>
        </w:rPr>
        <w:t xml:space="preserve">attaches </w:t>
      </w:r>
      <w:r>
        <w:rPr>
          <w:rFonts w:ascii="Times New Roman" w:hAnsi="Times New Roman" w:cs="Times New Roman" w:hint="eastAsia"/>
          <w:szCs w:val="21"/>
        </w:rPr>
        <w:t>great</w:t>
      </w:r>
      <w:r w:rsidR="00FC265B" w:rsidRPr="00FC265B">
        <w:rPr>
          <w:rFonts w:ascii="Times New Roman" w:hAnsi="Times New Roman" w:cs="Times New Roman"/>
          <w:szCs w:val="21"/>
        </w:rPr>
        <w:t xml:space="preserve"> importance to equipment R&amp;D and technology reserves</w:t>
      </w:r>
      <w:r>
        <w:rPr>
          <w:rFonts w:ascii="Times New Roman" w:hAnsi="Times New Roman" w:cs="Times New Roman" w:hint="eastAsia"/>
          <w:szCs w:val="21"/>
        </w:rPr>
        <w:t>, and</w:t>
      </w:r>
      <w:r w:rsidR="00FC265B" w:rsidRPr="00FC265B">
        <w:rPr>
          <w:rFonts w:ascii="Times New Roman" w:hAnsi="Times New Roman" w:cs="Times New Roman"/>
          <w:szCs w:val="21"/>
        </w:rPr>
        <w:t xml:space="preserve"> has achieved coverage of major key equipment spanning </w:t>
      </w:r>
      <w:r>
        <w:rPr>
          <w:rFonts w:ascii="Times New Roman" w:hAnsi="Times New Roman" w:cs="Times New Roman" w:hint="eastAsia"/>
          <w:szCs w:val="21"/>
        </w:rPr>
        <w:t xml:space="preserve">from </w:t>
      </w:r>
      <w:r w:rsidR="00FC265B" w:rsidRPr="00FC265B">
        <w:rPr>
          <w:rFonts w:ascii="Times New Roman" w:hAnsi="Times New Roman" w:cs="Times New Roman"/>
          <w:szCs w:val="21"/>
        </w:rPr>
        <w:t>new‑energy‑battery‑material production through battery‑manufacturing workflows</w:t>
      </w:r>
      <w:r>
        <w:rPr>
          <w:rFonts w:ascii="Times New Roman" w:hAnsi="Times New Roman" w:cs="Times New Roman" w:hint="eastAsia"/>
          <w:szCs w:val="21"/>
        </w:rPr>
        <w:t>.</w:t>
      </w:r>
      <w:r w:rsidR="00FC265B" w:rsidRPr="00FC265B">
        <w:rPr>
          <w:rFonts w:ascii="Times New Roman" w:hAnsi="Times New Roman" w:cs="Times New Roman"/>
          <w:szCs w:val="21"/>
        </w:rPr>
        <w:t xml:space="preserve"> </w:t>
      </w:r>
      <w:r>
        <w:rPr>
          <w:rFonts w:ascii="Times New Roman" w:hAnsi="Times New Roman" w:cs="Times New Roman" w:hint="eastAsia"/>
          <w:szCs w:val="21"/>
        </w:rPr>
        <w:t xml:space="preserve">It is </w:t>
      </w:r>
      <w:r w:rsidR="00FC265B" w:rsidRPr="00FC265B">
        <w:rPr>
          <w:rFonts w:ascii="Times New Roman" w:hAnsi="Times New Roman" w:cs="Times New Roman"/>
          <w:szCs w:val="21"/>
        </w:rPr>
        <w:t xml:space="preserve"> </w:t>
      </w:r>
      <w:r>
        <w:rPr>
          <w:rFonts w:ascii="Times New Roman" w:hAnsi="Times New Roman" w:cs="Times New Roman" w:hint="eastAsia"/>
          <w:szCs w:val="21"/>
        </w:rPr>
        <w:t>committed</w:t>
      </w:r>
      <w:r w:rsidR="00FC265B" w:rsidRPr="00FC265B">
        <w:rPr>
          <w:rFonts w:ascii="Times New Roman" w:hAnsi="Times New Roman" w:cs="Times New Roman"/>
          <w:szCs w:val="21"/>
        </w:rPr>
        <w:t xml:space="preserve"> to deliver </w:t>
      </w:r>
      <w:r w:rsidR="00FC265B" w:rsidRPr="00FC265B">
        <w:rPr>
          <w:rFonts w:ascii="Times New Roman" w:hAnsi="Times New Roman" w:cs="Times New Roman"/>
          <w:szCs w:val="21"/>
        </w:rPr>
        <w:lastRenderedPageBreak/>
        <w:t>intelligent‑process‑equipment solutions for global new‑energy‑industry customers.</w:t>
      </w:r>
    </w:p>
    <w:p w14:paraId="1431C63B" w14:textId="003FA4EF"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For front‑end new‑energy‑battery‑manufacturing equipment, highly‑self‑</w:t>
      </w:r>
      <w:r w:rsidR="005302C4">
        <w:rPr>
          <w:rFonts w:ascii="Times New Roman" w:hAnsi="Times New Roman" w:cs="Times New Roman" w:hint="eastAsia"/>
          <w:szCs w:val="21"/>
        </w:rPr>
        <w:t>developed</w:t>
      </w:r>
      <w:r w:rsidR="005302C4" w:rsidRPr="00FC265B">
        <w:rPr>
          <w:rFonts w:ascii="Times New Roman" w:hAnsi="Times New Roman" w:cs="Times New Roman"/>
          <w:szCs w:val="21"/>
        </w:rPr>
        <w:t xml:space="preserve"> </w:t>
      </w:r>
      <w:r w:rsidRPr="00FC265B">
        <w:rPr>
          <w:rFonts w:ascii="Times New Roman" w:hAnsi="Times New Roman" w:cs="Times New Roman"/>
          <w:szCs w:val="21"/>
        </w:rPr>
        <w:t>high‑speed double‑sided electrode‑coating machines maintain leading performance in speed, width, efficiency, drying technology, precision control and inspection. Stable mass‑production and deliveries are achieved for equipment with 1,600 mm maximum web width, alongside adaptive turret mechanisms for web‑roll lengths ranging from 1,050 mm to 1,750 mm and high‑precision coating rollers. For mid‑and‑back‑stage equipment, electrolyte‑inject</w:t>
      </w:r>
      <w:r w:rsidR="005302C4">
        <w:rPr>
          <w:rFonts w:ascii="Times New Roman" w:hAnsi="Times New Roman" w:cs="Times New Roman" w:hint="eastAsia"/>
          <w:szCs w:val="21"/>
        </w:rPr>
        <w:t>ion</w:t>
      </w:r>
      <w:r w:rsidRPr="00FC265B">
        <w:rPr>
          <w:rFonts w:ascii="Times New Roman" w:hAnsi="Times New Roman" w:cs="Times New Roman"/>
          <w:szCs w:val="21"/>
        </w:rPr>
        <w:t xml:space="preserve"> machines adopt integrated “injection + soaking” design with full‑scenario serialised‑product layout, comprehensively covering prismatic and cylindrical mainstream‑cell form‑factors. Hot‑compression stacking‑machine development continues to hit key milestones. For solid‑state‑battery equipment, phased progress has been made in dry‑electrode technologies with delivery and acceptance of dry‑electrode‑man</w:t>
      </w:r>
      <w:r>
        <w:rPr>
          <w:rFonts w:ascii="Times New Roman" w:hAnsi="Times New Roman" w:cs="Times New Roman"/>
          <w:szCs w:val="21"/>
        </w:rPr>
        <w:t>ufacturing equipment completed.</w:t>
      </w:r>
    </w:p>
    <w:p w14:paraId="7AC6BD09" w14:textId="3825A19D" w:rsidR="00FC265B" w:rsidRPr="00FC265B" w:rsidRDefault="00FC265B" w:rsidP="00FC265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 xml:space="preserve">For new‑energy‑battery‑material‑manufacturing equipment, </w:t>
      </w:r>
      <w:r w:rsidR="005302C4">
        <w:rPr>
          <w:rFonts w:ascii="Times New Roman" w:hAnsi="Times New Roman" w:cs="Times New Roman" w:hint="eastAsia"/>
          <w:szCs w:val="21"/>
        </w:rPr>
        <w:t xml:space="preserve">the </w:t>
      </w:r>
      <w:r w:rsidRPr="00FC265B">
        <w:rPr>
          <w:rFonts w:ascii="Times New Roman" w:hAnsi="Times New Roman" w:cs="Times New Roman"/>
          <w:szCs w:val="21"/>
        </w:rPr>
        <w:t xml:space="preserve">self‑developed wet‑process base‑film‑production equipment </w:t>
      </w:r>
      <w:r w:rsidR="005302C4">
        <w:rPr>
          <w:rFonts w:ascii="Times New Roman" w:hAnsi="Times New Roman" w:cs="Times New Roman" w:hint="eastAsia"/>
          <w:szCs w:val="21"/>
        </w:rPr>
        <w:t xml:space="preserve">of the Company </w:t>
      </w:r>
      <w:r w:rsidRPr="00FC265B">
        <w:rPr>
          <w:rFonts w:ascii="Times New Roman" w:hAnsi="Times New Roman" w:cs="Times New Roman"/>
          <w:szCs w:val="21"/>
        </w:rPr>
        <w:t xml:space="preserve">enables high‑speed stable manufacturing, with ongoing iteration towards higher speeds and wider web widths. </w:t>
      </w:r>
      <w:r w:rsidR="005302C4">
        <w:rPr>
          <w:rFonts w:ascii="Times New Roman" w:hAnsi="Times New Roman" w:cs="Times New Roman"/>
          <w:szCs w:val="21"/>
        </w:rPr>
        <w:t>The</w:t>
      </w:r>
      <w:r w:rsidR="005302C4">
        <w:rPr>
          <w:rFonts w:ascii="Times New Roman" w:hAnsi="Times New Roman" w:cs="Times New Roman" w:hint="eastAsia"/>
          <w:szCs w:val="21"/>
        </w:rPr>
        <w:t xml:space="preserve"> h</w:t>
      </w:r>
      <w:r w:rsidRPr="00FC265B">
        <w:rPr>
          <w:rFonts w:ascii="Times New Roman" w:hAnsi="Times New Roman" w:cs="Times New Roman"/>
          <w:szCs w:val="21"/>
        </w:rPr>
        <w:t xml:space="preserve">undred‑kilogram‑scale CVD fluidised‑bed equipment for silicon‑carbon‑anode production has stabilised, with process‑equipment </w:t>
      </w:r>
      <w:r w:rsidR="00C4251C" w:rsidRPr="00C4251C">
        <w:rPr>
          <w:rFonts w:ascii="Times New Roman" w:hAnsi="Times New Roman" w:cs="Times New Roman"/>
          <w:szCs w:val="21"/>
        </w:rPr>
        <w:t>being made in tandem with material upgrades and iterations</w:t>
      </w:r>
      <w:r w:rsidRPr="00FC265B">
        <w:rPr>
          <w:rFonts w:ascii="Times New Roman" w:hAnsi="Times New Roman" w:cs="Times New Roman"/>
          <w:szCs w:val="21"/>
        </w:rPr>
        <w:t>. Composite‑current‑collector‑manufacturing equipment development has been completed, with continuous refinement supported</w:t>
      </w:r>
      <w:r>
        <w:rPr>
          <w:rFonts w:ascii="Times New Roman" w:hAnsi="Times New Roman" w:cs="Times New Roman"/>
          <w:szCs w:val="21"/>
        </w:rPr>
        <w:t xml:space="preserve"> by product‑testing activities.</w:t>
      </w:r>
    </w:p>
    <w:p w14:paraId="311F04BA" w14:textId="16B5DC87" w:rsidR="00FC265B" w:rsidRPr="00FC265B" w:rsidRDefault="00FC265B" w:rsidP="00694D1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 xml:space="preserve">Drawing on profound industry‑experience accumulation and sharp technical insights, </w:t>
      </w:r>
      <w:r w:rsidR="00C4251C">
        <w:rPr>
          <w:rFonts w:ascii="Times New Roman" w:hAnsi="Times New Roman" w:cs="Times New Roman" w:hint="eastAsia"/>
          <w:szCs w:val="21"/>
        </w:rPr>
        <w:t>the Company</w:t>
      </w:r>
      <w:r w:rsidR="00C4251C" w:rsidRPr="00FC265B">
        <w:rPr>
          <w:rFonts w:ascii="Times New Roman" w:hAnsi="Times New Roman" w:cs="Times New Roman"/>
          <w:szCs w:val="21"/>
        </w:rPr>
        <w:t xml:space="preserve"> </w:t>
      </w:r>
      <w:r w:rsidRPr="00FC265B">
        <w:rPr>
          <w:rFonts w:ascii="Times New Roman" w:hAnsi="Times New Roman" w:cs="Times New Roman"/>
          <w:szCs w:val="21"/>
        </w:rPr>
        <w:t>continuously extends application of its existing technology system to emerging sectors, building robust technology‑reserve portfolios for fuel‑cell and p</w:t>
      </w:r>
      <w:r w:rsidR="00694D1B">
        <w:rPr>
          <w:rFonts w:ascii="Times New Roman" w:hAnsi="Times New Roman" w:cs="Times New Roman"/>
          <w:szCs w:val="21"/>
        </w:rPr>
        <w:t>erovskite‑solar‑cell equipment.</w:t>
      </w:r>
    </w:p>
    <w:p w14:paraId="739875C2" w14:textId="61136F2F" w:rsidR="00FC265B" w:rsidRPr="00FC265B" w:rsidRDefault="00FC265B" w:rsidP="00FC265B">
      <w:pPr>
        <w:spacing w:line="360" w:lineRule="auto"/>
        <w:ind w:firstLineChars="200" w:firstLine="420"/>
        <w:rPr>
          <w:rFonts w:ascii="Times New Roman" w:hAnsi="Times New Roman" w:cs="Times New Roman"/>
          <w:b/>
          <w:szCs w:val="21"/>
        </w:rPr>
      </w:pPr>
      <w:r w:rsidRPr="00FC265B">
        <w:rPr>
          <w:rFonts w:ascii="Times New Roman" w:hAnsi="Times New Roman" w:cs="Times New Roman"/>
          <w:b/>
          <w:szCs w:val="21"/>
        </w:rPr>
        <w:t xml:space="preserve"> (IV) Market‑Resource Advantages</w:t>
      </w:r>
    </w:p>
    <w:p w14:paraId="54166D32" w14:textId="0F34430E" w:rsidR="00FC265B" w:rsidRPr="00FC265B" w:rsidRDefault="00FC265B" w:rsidP="00694D1B">
      <w:pPr>
        <w:spacing w:line="360" w:lineRule="auto"/>
        <w:ind w:firstLineChars="200" w:firstLine="420"/>
        <w:rPr>
          <w:rFonts w:ascii="Times New Roman" w:hAnsi="Times New Roman" w:cs="Times New Roman"/>
          <w:szCs w:val="21"/>
        </w:rPr>
      </w:pPr>
      <w:r w:rsidRPr="00FC265B">
        <w:rPr>
          <w:rFonts w:ascii="Times New Roman" w:hAnsi="Times New Roman" w:cs="Times New Roman"/>
          <w:szCs w:val="21"/>
        </w:rPr>
        <w:t>As a platform‑</w:t>
      </w:r>
      <w:r w:rsidR="00C4251C">
        <w:rPr>
          <w:rFonts w:ascii="Times New Roman" w:hAnsi="Times New Roman" w:cs="Times New Roman" w:hint="eastAsia"/>
          <w:szCs w:val="21"/>
        </w:rPr>
        <w:t>based</w:t>
      </w:r>
      <w:r w:rsidR="00C4251C" w:rsidRPr="00FC265B">
        <w:rPr>
          <w:rFonts w:ascii="Times New Roman" w:hAnsi="Times New Roman" w:cs="Times New Roman"/>
          <w:szCs w:val="21"/>
        </w:rPr>
        <w:t xml:space="preserve"> </w:t>
      </w:r>
      <w:r w:rsidRPr="00FC265B">
        <w:rPr>
          <w:rFonts w:ascii="Times New Roman" w:hAnsi="Times New Roman" w:cs="Times New Roman"/>
          <w:szCs w:val="21"/>
        </w:rPr>
        <w:t xml:space="preserve">enterprise providing key‑battery‑materials and automation‑equipment solutions, </w:t>
      </w:r>
      <w:r w:rsidR="00C4251C">
        <w:rPr>
          <w:rFonts w:ascii="Times New Roman" w:hAnsi="Times New Roman" w:cs="Times New Roman" w:hint="eastAsia"/>
          <w:szCs w:val="21"/>
        </w:rPr>
        <w:t>the Company</w:t>
      </w:r>
      <w:r w:rsidR="00C4251C" w:rsidRPr="00FC265B">
        <w:rPr>
          <w:rFonts w:ascii="Times New Roman" w:hAnsi="Times New Roman" w:cs="Times New Roman"/>
          <w:szCs w:val="21"/>
        </w:rPr>
        <w:t xml:space="preserve">’s </w:t>
      </w:r>
      <w:r w:rsidRPr="00FC265B">
        <w:rPr>
          <w:rFonts w:ascii="Times New Roman" w:hAnsi="Times New Roman" w:cs="Times New Roman"/>
          <w:szCs w:val="21"/>
        </w:rPr>
        <w:t xml:space="preserve">major products </w:t>
      </w:r>
      <w:r w:rsidR="00C4251C">
        <w:rPr>
          <w:rFonts w:ascii="Times New Roman" w:hAnsi="Times New Roman" w:cs="Times New Roman" w:hint="eastAsia"/>
          <w:szCs w:val="21"/>
        </w:rPr>
        <w:t>have gained</w:t>
      </w:r>
      <w:r w:rsidR="00C4251C" w:rsidRPr="00FC265B">
        <w:rPr>
          <w:rFonts w:ascii="Times New Roman" w:hAnsi="Times New Roman" w:cs="Times New Roman"/>
          <w:szCs w:val="21"/>
        </w:rPr>
        <w:t xml:space="preserve"> </w:t>
      </w:r>
      <w:r w:rsidRPr="00FC265B">
        <w:rPr>
          <w:rFonts w:ascii="Times New Roman" w:hAnsi="Times New Roman" w:cs="Times New Roman"/>
          <w:szCs w:val="21"/>
        </w:rPr>
        <w:t xml:space="preserve">wide market recognition. </w:t>
      </w:r>
      <w:r w:rsidR="00C4251C">
        <w:rPr>
          <w:rFonts w:ascii="Times New Roman" w:hAnsi="Times New Roman" w:cs="Times New Roman" w:hint="eastAsia"/>
          <w:szCs w:val="21"/>
        </w:rPr>
        <w:t>The Company</w:t>
      </w:r>
      <w:r w:rsidRPr="00FC265B">
        <w:rPr>
          <w:rFonts w:ascii="Times New Roman" w:hAnsi="Times New Roman" w:cs="Times New Roman"/>
          <w:szCs w:val="21"/>
        </w:rPr>
        <w:t xml:space="preserve"> has built </w:t>
      </w:r>
      <w:r w:rsidR="00C4251C">
        <w:rPr>
          <w:rFonts w:ascii="Times New Roman" w:hAnsi="Times New Roman" w:cs="Times New Roman" w:hint="eastAsia"/>
          <w:szCs w:val="21"/>
        </w:rPr>
        <w:t xml:space="preserve">a </w:t>
      </w:r>
      <w:r w:rsidRPr="00FC265B">
        <w:rPr>
          <w:rFonts w:ascii="Times New Roman" w:hAnsi="Times New Roman" w:cs="Times New Roman"/>
          <w:szCs w:val="21"/>
        </w:rPr>
        <w:t xml:space="preserve">solid brand reputation and customer </w:t>
      </w:r>
      <w:r w:rsidR="00C4251C">
        <w:rPr>
          <w:rFonts w:ascii="Times New Roman" w:hAnsi="Times New Roman" w:cs="Times New Roman" w:hint="eastAsia"/>
          <w:szCs w:val="21"/>
        </w:rPr>
        <w:t>base</w:t>
      </w:r>
      <w:r w:rsidRPr="00FC265B">
        <w:rPr>
          <w:rFonts w:ascii="Times New Roman" w:hAnsi="Times New Roman" w:cs="Times New Roman"/>
          <w:szCs w:val="21"/>
        </w:rPr>
        <w:t xml:space="preserve"> in </w:t>
      </w:r>
      <w:r w:rsidR="00C4251C">
        <w:rPr>
          <w:rFonts w:ascii="Times New Roman" w:hAnsi="Times New Roman" w:cs="Times New Roman" w:hint="eastAsia"/>
          <w:szCs w:val="21"/>
        </w:rPr>
        <w:t xml:space="preserve">the </w:t>
      </w:r>
      <w:r w:rsidRPr="00FC265B">
        <w:rPr>
          <w:rFonts w:ascii="Times New Roman" w:hAnsi="Times New Roman" w:cs="Times New Roman"/>
          <w:szCs w:val="21"/>
        </w:rPr>
        <w:t xml:space="preserve">global mid‑to‑high‑end lithium‑battery markets. Diversified and differentiated product portfolios together with integrated‑service offerings satisfy customer needs and build customer stickiness. </w:t>
      </w:r>
      <w:r w:rsidR="00C4251C">
        <w:rPr>
          <w:rFonts w:ascii="Times New Roman" w:hAnsi="Times New Roman" w:cs="Times New Roman" w:hint="eastAsia"/>
          <w:szCs w:val="21"/>
        </w:rPr>
        <w:t>The Company</w:t>
      </w:r>
      <w:r w:rsidRPr="00FC265B">
        <w:rPr>
          <w:rFonts w:ascii="Times New Roman" w:hAnsi="Times New Roman" w:cs="Times New Roman"/>
          <w:szCs w:val="21"/>
        </w:rPr>
        <w:t xml:space="preserve"> actively pursues global‑market coverage for power‑battery, ESS and consumer‑electronics‑battery customers to lift market shares. </w:t>
      </w:r>
      <w:r w:rsidR="00C4251C">
        <w:rPr>
          <w:rFonts w:ascii="Times New Roman" w:hAnsi="Times New Roman" w:cs="Times New Roman" w:hint="eastAsia"/>
          <w:szCs w:val="21"/>
        </w:rPr>
        <w:t>It</w:t>
      </w:r>
      <w:r w:rsidRPr="00FC265B">
        <w:rPr>
          <w:rFonts w:ascii="Times New Roman" w:hAnsi="Times New Roman" w:cs="Times New Roman"/>
          <w:szCs w:val="21"/>
        </w:rPr>
        <w:t xml:space="preserve"> maintains long‑term sound cooperation with major battery manufacturers and vehicle OEMs </w:t>
      </w:r>
      <w:r w:rsidRPr="00FC265B">
        <w:rPr>
          <w:rFonts w:ascii="Times New Roman" w:hAnsi="Times New Roman" w:cs="Times New Roman"/>
          <w:szCs w:val="21"/>
        </w:rPr>
        <w:lastRenderedPageBreak/>
        <w:t xml:space="preserve">including CATL, LG Energy Solution, Samsung SDI, ATL, BYD, CALB, </w:t>
      </w:r>
      <w:r w:rsidR="00C4251C" w:rsidRPr="00C4251C">
        <w:rPr>
          <w:rFonts w:ascii="Times New Roman" w:hAnsi="Times New Roman" w:cs="Times New Roman"/>
          <w:szCs w:val="21"/>
        </w:rPr>
        <w:t>REPT Battero</w:t>
      </w:r>
      <w:r w:rsidRPr="00FC265B">
        <w:rPr>
          <w:rFonts w:ascii="Times New Roman" w:hAnsi="Times New Roman" w:cs="Times New Roman"/>
          <w:szCs w:val="21"/>
        </w:rPr>
        <w:t xml:space="preserve">, Sunwoda, </w:t>
      </w:r>
      <w:r w:rsidR="00C4251C" w:rsidRPr="00C4251C">
        <w:rPr>
          <w:rFonts w:ascii="Times New Roman" w:hAnsi="Times New Roman" w:cs="Times New Roman"/>
          <w:szCs w:val="21"/>
        </w:rPr>
        <w:t>COSMX</w:t>
      </w:r>
      <w:r w:rsidRPr="00FC265B">
        <w:rPr>
          <w:rFonts w:ascii="Times New Roman" w:hAnsi="Times New Roman" w:cs="Times New Roman"/>
          <w:szCs w:val="21"/>
        </w:rPr>
        <w:t>, EVE Energy, Ganfeng Lithium, Wuhan Chuneng, Geely Auto, Volkswagen Group and China Automotive New Energy across R&amp;D, product‑certification an</w:t>
      </w:r>
      <w:r w:rsidR="00694D1B">
        <w:rPr>
          <w:rFonts w:ascii="Times New Roman" w:hAnsi="Times New Roman" w:cs="Times New Roman"/>
          <w:szCs w:val="21"/>
        </w:rPr>
        <w:t>d quality‑management workflows.</w:t>
      </w:r>
    </w:p>
    <w:p w14:paraId="5F6A0FF4" w14:textId="419D5775" w:rsidR="00FC265B" w:rsidRPr="00FC265B" w:rsidRDefault="00FC265B" w:rsidP="00FC265B">
      <w:pPr>
        <w:spacing w:line="360" w:lineRule="auto"/>
        <w:ind w:firstLineChars="200" w:firstLine="420"/>
        <w:rPr>
          <w:rFonts w:ascii="Times New Roman" w:hAnsi="Times New Roman" w:cs="Times New Roman"/>
          <w:b/>
          <w:szCs w:val="21"/>
        </w:rPr>
      </w:pPr>
      <w:r w:rsidRPr="00FC265B">
        <w:rPr>
          <w:rFonts w:ascii="Times New Roman" w:hAnsi="Times New Roman" w:cs="Times New Roman"/>
          <w:b/>
          <w:szCs w:val="21"/>
        </w:rPr>
        <w:t xml:space="preserve"> (V) Team Advantages</w:t>
      </w:r>
    </w:p>
    <w:p w14:paraId="5762F405" w14:textId="2641265B" w:rsidR="00E63A80" w:rsidRPr="00916B56" w:rsidRDefault="00C4251C" w:rsidP="00FC265B">
      <w:pPr>
        <w:spacing w:line="360" w:lineRule="auto"/>
        <w:ind w:firstLineChars="200" w:firstLine="420"/>
        <w:rPr>
          <w:rFonts w:ascii="Times New Roman" w:hAnsi="Times New Roman" w:cs="Times New Roman"/>
          <w:szCs w:val="21"/>
        </w:rPr>
      </w:pPr>
      <w:r>
        <w:rPr>
          <w:rFonts w:ascii="Times New Roman" w:hAnsi="Times New Roman" w:cs="Times New Roman" w:hint="eastAsia"/>
          <w:szCs w:val="21"/>
        </w:rPr>
        <w:t>The Company</w:t>
      </w:r>
      <w:r w:rsidRPr="00FC265B">
        <w:rPr>
          <w:rFonts w:ascii="Times New Roman" w:hAnsi="Times New Roman" w:cs="Times New Roman"/>
          <w:szCs w:val="21"/>
        </w:rPr>
        <w:t xml:space="preserve"> </w:t>
      </w:r>
      <w:r w:rsidR="00FC265B" w:rsidRPr="00FC265B">
        <w:rPr>
          <w:rFonts w:ascii="Times New Roman" w:hAnsi="Times New Roman" w:cs="Times New Roman"/>
          <w:szCs w:val="21"/>
        </w:rPr>
        <w:t xml:space="preserve">has strong R&amp;D teams for battery‑materials and automation‑equipment as well as battery‑industry specialists. The management team possesses deep industrial resources and technical backgrounds, maintaining high sensitivity towards new‑energy‑industry‑development trends and market demands. Forward‑looking R&amp;D layouts are implemented for new products, technologies and processes, with corporate‑strategic objectives efficiently executed in product‑direction planning and operational‑strategy formulation. Meanwhile, </w:t>
      </w:r>
      <w:r w:rsidR="00364C99">
        <w:rPr>
          <w:rFonts w:ascii="Times New Roman" w:hAnsi="Times New Roman" w:cs="Times New Roman" w:hint="eastAsia"/>
          <w:szCs w:val="21"/>
        </w:rPr>
        <w:t>the Company</w:t>
      </w:r>
      <w:r w:rsidR="00364C99" w:rsidRPr="00FC265B">
        <w:rPr>
          <w:rFonts w:ascii="Times New Roman" w:hAnsi="Times New Roman" w:cs="Times New Roman"/>
          <w:szCs w:val="21"/>
        </w:rPr>
        <w:t xml:space="preserve"> </w:t>
      </w:r>
      <w:r w:rsidR="00FC265B" w:rsidRPr="00FC265B">
        <w:rPr>
          <w:rFonts w:ascii="Times New Roman" w:hAnsi="Times New Roman" w:cs="Times New Roman"/>
          <w:szCs w:val="21"/>
        </w:rPr>
        <w:t>values and nurtures talent, implementing scientific talent‑incentive policies, work‑allocation frameworks and team‑building mechanisms. Synergistic management models spanning membrane‑materials‑and‑coating‑processing, anode‑materials and automation‑equipment businesses improve human‑resource synergy efficiency, forming PTL’s unique core‑cohesion and team‑related competitive strengths.</w:t>
      </w:r>
      <w:r w:rsidR="00F07645" w:rsidRPr="00916B56">
        <w:rPr>
          <w:rFonts w:ascii="Times New Roman" w:hAnsi="Times New Roman" w:cs="Times New Roman" w:hint="eastAsia"/>
          <w:szCs w:val="21"/>
        </w:rPr>
        <w:t xml:space="preserve"> </w:t>
      </w:r>
    </w:p>
    <w:p w14:paraId="5F1BA20F" w14:textId="77777777" w:rsidR="00915114" w:rsidRPr="00916B56" w:rsidRDefault="00915114" w:rsidP="00915114">
      <w:pPr>
        <w:keepNext/>
        <w:keepLines/>
        <w:numPr>
          <w:ilvl w:val="1"/>
          <w:numId w:val="1"/>
        </w:numPr>
        <w:spacing w:before="60" w:after="60"/>
        <w:ind w:left="498" w:hangingChars="236" w:hanging="498"/>
        <w:outlineLvl w:val="1"/>
        <w:rPr>
          <w:rFonts w:ascii="Times New Roman" w:eastAsia="宋体" w:hAnsi="Times New Roman" w:cs="Times New Roman"/>
          <w:b/>
          <w:bCs/>
          <w:szCs w:val="21"/>
          <w:lang w:val="en"/>
        </w:rPr>
      </w:pPr>
      <w:r w:rsidRPr="00916B56">
        <w:rPr>
          <w:rFonts w:ascii="Times New Roman" w:eastAsia="宋体" w:hAnsi="Times New Roman" w:cs="Times New Roman"/>
          <w:b/>
          <w:bCs/>
          <w:szCs w:val="21"/>
          <w:lang w:val="en"/>
        </w:rPr>
        <w:t>Shareholdings of the Top Ten Shareholders</w:t>
      </w:r>
    </w:p>
    <w:tbl>
      <w:tblPr>
        <w:tblStyle w:val="g1"/>
        <w:tblW w:w="96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843"/>
        <w:gridCol w:w="1701"/>
        <w:gridCol w:w="992"/>
        <w:gridCol w:w="1134"/>
        <w:gridCol w:w="851"/>
        <w:gridCol w:w="1276"/>
      </w:tblGrid>
      <w:tr w:rsidR="00FD0F1A" w:rsidRPr="00916B56" w14:paraId="22DA7E6A" w14:textId="77777777" w:rsidTr="00873CF4">
        <w:trPr>
          <w:cantSplit/>
          <w:trHeight w:val="305"/>
        </w:trPr>
        <w:tc>
          <w:tcPr>
            <w:tcW w:w="9640" w:type="dxa"/>
            <w:gridSpan w:val="7"/>
            <w:vAlign w:val="center"/>
          </w:tcPr>
          <w:p w14:paraId="42250FC3" w14:textId="77777777" w:rsidR="00915114" w:rsidRPr="00916B56" w:rsidRDefault="00DD7339" w:rsidP="00915114">
            <w:pPr>
              <w:jc w:val="center"/>
              <w:rPr>
                <w:rFonts w:ascii="Times New Roman" w:hAnsi="Times New Roman"/>
                <w:sz w:val="21"/>
                <w:szCs w:val="21"/>
              </w:rPr>
            </w:pPr>
            <w:bookmarkStart w:id="8" w:name="_Hlk199343731"/>
            <w:r w:rsidRPr="00916B56">
              <w:rPr>
                <w:rFonts w:ascii="Times New Roman" w:hAnsi="Times New Roman"/>
                <w:sz w:val="21"/>
                <w:szCs w:val="21"/>
              </w:rPr>
              <w:t>Shareholdings of the Top Ten S</w:t>
            </w:r>
            <w:r w:rsidR="00915114" w:rsidRPr="00916B56">
              <w:rPr>
                <w:rFonts w:ascii="Times New Roman" w:hAnsi="Times New Roman"/>
                <w:sz w:val="21"/>
                <w:szCs w:val="21"/>
              </w:rPr>
              <w:t>hareholders</w:t>
            </w:r>
            <w:r w:rsidRPr="00916B56">
              <w:rPr>
                <w:rFonts w:ascii="Times New Roman" w:hAnsi="Times New Roman"/>
                <w:sz w:val="21"/>
                <w:szCs w:val="21"/>
              </w:rPr>
              <w:t xml:space="preserve"> </w:t>
            </w:r>
          </w:p>
        </w:tc>
      </w:tr>
      <w:tr w:rsidR="00FD0F1A" w:rsidRPr="00916B56" w14:paraId="1AE27086" w14:textId="77777777" w:rsidTr="00873CF4">
        <w:trPr>
          <w:cantSplit/>
          <w:trHeight w:val="305"/>
        </w:trPr>
        <w:tc>
          <w:tcPr>
            <w:tcW w:w="1843" w:type="dxa"/>
            <w:vMerge w:val="restart"/>
            <w:vAlign w:val="center"/>
          </w:tcPr>
          <w:p w14:paraId="3330626E" w14:textId="0C4080D7" w:rsidR="00915114" w:rsidRPr="00916B56" w:rsidRDefault="00915114" w:rsidP="00915114">
            <w:pPr>
              <w:jc w:val="center"/>
              <w:rPr>
                <w:rFonts w:ascii="Times New Roman" w:hAnsi="Times New Roman"/>
                <w:sz w:val="21"/>
                <w:szCs w:val="21"/>
              </w:rPr>
            </w:pPr>
            <w:r w:rsidRPr="00916B56">
              <w:rPr>
                <w:rFonts w:ascii="Times New Roman" w:hAnsi="Times New Roman"/>
                <w:sz w:val="21"/>
                <w:szCs w:val="21"/>
              </w:rPr>
              <w:t xml:space="preserve">Shareholder </w:t>
            </w:r>
          </w:p>
          <w:p w14:paraId="623CD918" w14:textId="77777777" w:rsidR="00915114" w:rsidRPr="00916B56" w:rsidRDefault="00915114" w:rsidP="00915114">
            <w:pPr>
              <w:jc w:val="center"/>
              <w:rPr>
                <w:rFonts w:ascii="Times New Roman" w:hAnsi="Times New Roman"/>
                <w:sz w:val="21"/>
                <w:szCs w:val="21"/>
              </w:rPr>
            </w:pPr>
            <w:r w:rsidRPr="00916B56">
              <w:rPr>
                <w:rFonts w:ascii="Times New Roman" w:hAnsi="Times New Roman"/>
                <w:sz w:val="21"/>
                <w:szCs w:val="21"/>
              </w:rPr>
              <w:t>(full name)</w:t>
            </w:r>
          </w:p>
        </w:tc>
        <w:tc>
          <w:tcPr>
            <w:tcW w:w="1843" w:type="dxa"/>
            <w:vMerge w:val="restart"/>
            <w:vAlign w:val="center"/>
          </w:tcPr>
          <w:p w14:paraId="53616454" w14:textId="606FDC56" w:rsidR="00915114" w:rsidRPr="00916B56" w:rsidRDefault="00EB59AA" w:rsidP="00873CF4">
            <w:pPr>
              <w:kinsoku w:val="0"/>
              <w:overflowPunct w:val="0"/>
              <w:autoSpaceDE w:val="0"/>
              <w:autoSpaceDN w:val="0"/>
              <w:adjustRightInd w:val="0"/>
              <w:snapToGrid w:val="0"/>
              <w:rPr>
                <w:rFonts w:ascii="Times New Roman" w:hAnsi="Times New Roman"/>
                <w:sz w:val="21"/>
                <w:szCs w:val="21"/>
              </w:rPr>
            </w:pPr>
            <w:r>
              <w:rPr>
                <w:rFonts w:ascii="Times New Roman" w:hAnsi="Times New Roman" w:hint="eastAsia"/>
                <w:sz w:val="21"/>
                <w:szCs w:val="21"/>
              </w:rPr>
              <w:t xml:space="preserve">Changes </w:t>
            </w:r>
            <w:r w:rsidR="00DD7339" w:rsidRPr="00916B56">
              <w:rPr>
                <w:rFonts w:ascii="Times New Roman" w:hAnsi="Times New Roman"/>
                <w:sz w:val="21"/>
                <w:szCs w:val="21"/>
              </w:rPr>
              <w:t>during the Reporting P</w:t>
            </w:r>
            <w:r w:rsidR="00915114" w:rsidRPr="00916B56">
              <w:rPr>
                <w:rFonts w:ascii="Times New Roman" w:hAnsi="Times New Roman"/>
                <w:sz w:val="21"/>
                <w:szCs w:val="21"/>
              </w:rPr>
              <w:t>eriod</w:t>
            </w:r>
          </w:p>
        </w:tc>
        <w:tc>
          <w:tcPr>
            <w:tcW w:w="1701" w:type="dxa"/>
            <w:vMerge w:val="restart"/>
            <w:vAlign w:val="center"/>
          </w:tcPr>
          <w:p w14:paraId="5A52D8F5" w14:textId="5B11FDAF" w:rsidR="00915114" w:rsidRPr="00916B56" w:rsidRDefault="00EB59AA" w:rsidP="00873CF4">
            <w:pPr>
              <w:kinsoku w:val="0"/>
              <w:overflowPunct w:val="0"/>
              <w:autoSpaceDE w:val="0"/>
              <w:autoSpaceDN w:val="0"/>
              <w:adjustRightInd w:val="0"/>
              <w:snapToGrid w:val="0"/>
              <w:rPr>
                <w:rFonts w:ascii="Times New Roman" w:hAnsi="Times New Roman"/>
                <w:sz w:val="21"/>
                <w:szCs w:val="21"/>
              </w:rPr>
            </w:pPr>
            <w:r>
              <w:rPr>
                <w:rFonts w:ascii="Times New Roman" w:hAnsi="Times New Roman" w:hint="eastAsia"/>
                <w:sz w:val="21"/>
                <w:szCs w:val="21"/>
              </w:rPr>
              <w:t>Closing number of shares held</w:t>
            </w:r>
          </w:p>
        </w:tc>
        <w:tc>
          <w:tcPr>
            <w:tcW w:w="992" w:type="dxa"/>
            <w:vMerge w:val="restart"/>
            <w:vAlign w:val="center"/>
          </w:tcPr>
          <w:p w14:paraId="375A252B" w14:textId="5C3E0B9F" w:rsidR="00915114" w:rsidRPr="00916B56" w:rsidRDefault="00EB59AA" w:rsidP="00873CF4">
            <w:pPr>
              <w:kinsoku w:val="0"/>
              <w:wordWrap w:val="0"/>
              <w:overflowPunct w:val="0"/>
              <w:autoSpaceDE w:val="0"/>
              <w:autoSpaceDN w:val="0"/>
              <w:adjustRightInd w:val="0"/>
              <w:snapToGrid w:val="0"/>
              <w:rPr>
                <w:rFonts w:ascii="Times New Roman" w:hAnsi="Times New Roman"/>
                <w:sz w:val="21"/>
                <w:szCs w:val="21"/>
              </w:rPr>
            </w:pPr>
            <w:r>
              <w:rPr>
                <w:rFonts w:ascii="Times New Roman" w:hAnsi="Times New Roman" w:hint="eastAsia"/>
                <w:sz w:val="21"/>
                <w:szCs w:val="21"/>
              </w:rPr>
              <w:t>Proportion</w:t>
            </w:r>
            <w:r w:rsidR="00915114" w:rsidRPr="00916B56">
              <w:rPr>
                <w:rFonts w:ascii="Times New Roman" w:hAnsi="Times New Roman"/>
                <w:sz w:val="21"/>
                <w:szCs w:val="21"/>
              </w:rPr>
              <w:t>(%)</w:t>
            </w:r>
          </w:p>
        </w:tc>
        <w:tc>
          <w:tcPr>
            <w:tcW w:w="1134" w:type="dxa"/>
            <w:vMerge w:val="restart"/>
            <w:vAlign w:val="center"/>
          </w:tcPr>
          <w:p w14:paraId="692D5123" w14:textId="1DF31A4F" w:rsidR="003E2E3B" w:rsidRPr="00916B56" w:rsidRDefault="003E2E3B" w:rsidP="00EB59AA">
            <w:pPr>
              <w:kinsoku w:val="0"/>
              <w:wordWrap w:val="0"/>
              <w:overflowPunct w:val="0"/>
              <w:autoSpaceDE w:val="0"/>
              <w:autoSpaceDN w:val="0"/>
              <w:adjustRightInd w:val="0"/>
              <w:snapToGrid w:val="0"/>
              <w:rPr>
                <w:rFonts w:ascii="Times New Roman" w:hAnsi="Times New Roman"/>
                <w:bCs/>
                <w:sz w:val="21"/>
                <w:szCs w:val="21"/>
              </w:rPr>
            </w:pPr>
            <w:r w:rsidRPr="00916B56">
              <w:rPr>
                <w:rFonts w:ascii="Times New Roman" w:hAnsi="Times New Roman"/>
                <w:bCs/>
                <w:sz w:val="21"/>
                <w:szCs w:val="21"/>
                <w:lang w:val="en-US"/>
              </w:rPr>
              <w:t>Restricted Shares</w:t>
            </w:r>
          </w:p>
        </w:tc>
        <w:tc>
          <w:tcPr>
            <w:tcW w:w="2127" w:type="dxa"/>
            <w:gridSpan w:val="2"/>
            <w:vAlign w:val="center"/>
          </w:tcPr>
          <w:p w14:paraId="0A8E9478" w14:textId="472ACDD4" w:rsidR="003E2E3B" w:rsidRPr="00916B56" w:rsidRDefault="003E2E3B" w:rsidP="00915114">
            <w:pPr>
              <w:jc w:val="center"/>
              <w:rPr>
                <w:rFonts w:ascii="Times New Roman" w:hAnsi="Times New Roman"/>
                <w:sz w:val="21"/>
                <w:szCs w:val="21"/>
              </w:rPr>
            </w:pPr>
            <w:r w:rsidRPr="00916B56">
              <w:rPr>
                <w:rFonts w:ascii="Times New Roman" w:hAnsi="Times New Roman"/>
                <w:sz w:val="21"/>
                <w:szCs w:val="21"/>
                <w:lang w:val="en-US"/>
              </w:rPr>
              <w:t>Shares Pledged, Marked, or Frozen</w:t>
            </w:r>
          </w:p>
        </w:tc>
      </w:tr>
      <w:tr w:rsidR="00FD0F1A" w:rsidRPr="00916B56" w14:paraId="22DE1087" w14:textId="77777777" w:rsidTr="00873CF4">
        <w:trPr>
          <w:cantSplit/>
          <w:trHeight w:val="305"/>
        </w:trPr>
        <w:tc>
          <w:tcPr>
            <w:tcW w:w="1843" w:type="dxa"/>
            <w:vMerge/>
            <w:tcBorders>
              <w:bottom w:val="single" w:sz="4" w:space="0" w:color="auto"/>
            </w:tcBorders>
            <w:vAlign w:val="center"/>
          </w:tcPr>
          <w:p w14:paraId="7C038F9B" w14:textId="77777777" w:rsidR="00915114" w:rsidRPr="00916B56" w:rsidRDefault="00915114" w:rsidP="00915114">
            <w:pPr>
              <w:jc w:val="center"/>
              <w:rPr>
                <w:rFonts w:ascii="Times New Roman" w:hAnsi="Times New Roman"/>
                <w:sz w:val="21"/>
                <w:szCs w:val="21"/>
              </w:rPr>
            </w:pPr>
          </w:p>
        </w:tc>
        <w:tc>
          <w:tcPr>
            <w:tcW w:w="1843" w:type="dxa"/>
            <w:vMerge/>
            <w:tcBorders>
              <w:bottom w:val="single" w:sz="4" w:space="0" w:color="auto"/>
            </w:tcBorders>
            <w:vAlign w:val="center"/>
          </w:tcPr>
          <w:p w14:paraId="2FA91FBA" w14:textId="77777777" w:rsidR="00915114" w:rsidRPr="00916B56" w:rsidRDefault="00915114" w:rsidP="00915114">
            <w:pPr>
              <w:jc w:val="center"/>
              <w:rPr>
                <w:rFonts w:ascii="Times New Roman" w:hAnsi="Times New Roman"/>
                <w:sz w:val="21"/>
                <w:szCs w:val="21"/>
              </w:rPr>
            </w:pPr>
          </w:p>
        </w:tc>
        <w:tc>
          <w:tcPr>
            <w:tcW w:w="1701" w:type="dxa"/>
            <w:vMerge/>
            <w:tcBorders>
              <w:bottom w:val="single" w:sz="4" w:space="0" w:color="auto"/>
            </w:tcBorders>
            <w:vAlign w:val="center"/>
          </w:tcPr>
          <w:p w14:paraId="0632E423" w14:textId="77777777" w:rsidR="00915114" w:rsidRPr="00916B56" w:rsidRDefault="00915114" w:rsidP="00915114">
            <w:pPr>
              <w:jc w:val="center"/>
              <w:rPr>
                <w:rFonts w:ascii="Times New Roman" w:hAnsi="Times New Roman"/>
                <w:sz w:val="21"/>
                <w:szCs w:val="21"/>
              </w:rPr>
            </w:pPr>
          </w:p>
        </w:tc>
        <w:tc>
          <w:tcPr>
            <w:tcW w:w="992" w:type="dxa"/>
            <w:vMerge/>
            <w:tcBorders>
              <w:bottom w:val="single" w:sz="4" w:space="0" w:color="auto"/>
            </w:tcBorders>
            <w:vAlign w:val="center"/>
          </w:tcPr>
          <w:p w14:paraId="6966C3B7" w14:textId="77777777" w:rsidR="00915114" w:rsidRPr="00916B56" w:rsidRDefault="00915114" w:rsidP="00915114">
            <w:pPr>
              <w:jc w:val="center"/>
              <w:rPr>
                <w:rFonts w:ascii="Times New Roman" w:hAnsi="Times New Roman"/>
                <w:sz w:val="21"/>
                <w:szCs w:val="21"/>
              </w:rPr>
            </w:pPr>
          </w:p>
        </w:tc>
        <w:tc>
          <w:tcPr>
            <w:tcW w:w="1134" w:type="dxa"/>
            <w:vMerge/>
            <w:tcBorders>
              <w:bottom w:val="single" w:sz="4" w:space="0" w:color="auto"/>
            </w:tcBorders>
            <w:vAlign w:val="center"/>
          </w:tcPr>
          <w:p w14:paraId="266F3BBE" w14:textId="77777777" w:rsidR="00915114" w:rsidRPr="00916B56" w:rsidRDefault="00915114" w:rsidP="00915114">
            <w:pPr>
              <w:jc w:val="center"/>
              <w:rPr>
                <w:rFonts w:ascii="Times New Roman" w:hAnsi="Times New Roman"/>
                <w:sz w:val="21"/>
                <w:szCs w:val="21"/>
              </w:rPr>
            </w:pPr>
          </w:p>
        </w:tc>
        <w:tc>
          <w:tcPr>
            <w:tcW w:w="851" w:type="dxa"/>
            <w:tcBorders>
              <w:bottom w:val="single" w:sz="4" w:space="0" w:color="auto"/>
            </w:tcBorders>
            <w:vAlign w:val="center"/>
          </w:tcPr>
          <w:p w14:paraId="1453AFF5" w14:textId="77777777" w:rsidR="00915114" w:rsidRPr="00916B56" w:rsidRDefault="00915114" w:rsidP="00915114">
            <w:pPr>
              <w:jc w:val="center"/>
              <w:rPr>
                <w:rFonts w:ascii="Times New Roman" w:hAnsi="Times New Roman"/>
                <w:sz w:val="21"/>
                <w:szCs w:val="21"/>
              </w:rPr>
            </w:pPr>
            <w:r w:rsidRPr="00916B56">
              <w:rPr>
                <w:rFonts w:ascii="Times New Roman" w:hAnsi="Times New Roman"/>
                <w:sz w:val="21"/>
                <w:szCs w:val="21"/>
              </w:rPr>
              <w:t>Share Status</w:t>
            </w:r>
          </w:p>
        </w:tc>
        <w:tc>
          <w:tcPr>
            <w:tcW w:w="1276" w:type="dxa"/>
            <w:tcBorders>
              <w:bottom w:val="single" w:sz="4" w:space="0" w:color="auto"/>
            </w:tcBorders>
            <w:vAlign w:val="center"/>
          </w:tcPr>
          <w:p w14:paraId="69920BDD" w14:textId="5350C5ED" w:rsidR="00915114" w:rsidRPr="00916B56" w:rsidRDefault="00EB59AA" w:rsidP="00915114">
            <w:pPr>
              <w:jc w:val="center"/>
              <w:rPr>
                <w:rFonts w:ascii="Times New Roman" w:hAnsi="Times New Roman"/>
                <w:sz w:val="21"/>
                <w:szCs w:val="21"/>
              </w:rPr>
            </w:pPr>
            <w:r>
              <w:rPr>
                <w:rFonts w:ascii="Times New Roman" w:hAnsi="Times New Roman" w:hint="eastAsia"/>
                <w:sz w:val="21"/>
                <w:szCs w:val="21"/>
              </w:rPr>
              <w:t>Number of shares</w:t>
            </w:r>
          </w:p>
        </w:tc>
      </w:tr>
      <w:bookmarkEnd w:id="8"/>
      <w:tr w:rsidR="00527B54" w:rsidRPr="00916B56" w14:paraId="37E31D6B" w14:textId="77777777" w:rsidTr="00873CF4">
        <w:trPr>
          <w:cantSplit/>
          <w:trHeight w:val="305"/>
        </w:trPr>
        <w:tc>
          <w:tcPr>
            <w:tcW w:w="1843" w:type="dxa"/>
            <w:vAlign w:val="center"/>
          </w:tcPr>
          <w:p w14:paraId="3C2CCC75" w14:textId="77777777" w:rsidR="00527B54" w:rsidRPr="00916B56" w:rsidRDefault="00527B54" w:rsidP="00527B54">
            <w:pPr>
              <w:rPr>
                <w:rFonts w:ascii="Times New Roman" w:hAnsi="Times New Roman"/>
                <w:sz w:val="21"/>
                <w:szCs w:val="21"/>
              </w:rPr>
            </w:pPr>
            <w:r w:rsidRPr="00916B56">
              <w:rPr>
                <w:rFonts w:ascii="Times New Roman" w:hAnsi="Times New Roman"/>
                <w:sz w:val="21"/>
                <w:szCs w:val="21"/>
              </w:rPr>
              <w:t>Liang Feng</w:t>
            </w:r>
          </w:p>
        </w:tc>
        <w:tc>
          <w:tcPr>
            <w:tcW w:w="1843" w:type="dxa"/>
            <w:vAlign w:val="center"/>
          </w:tcPr>
          <w:p w14:paraId="1DAC6DF0" w14:textId="47C3393A" w:rsidR="00527B54" w:rsidRPr="00916B56" w:rsidRDefault="00527B54" w:rsidP="00527B54">
            <w:pPr>
              <w:jc w:val="right"/>
              <w:rPr>
                <w:rFonts w:ascii="Times New Roman" w:eastAsiaTheme="majorEastAsia" w:hAnsi="Times New Roman"/>
                <w:sz w:val="21"/>
                <w:szCs w:val="21"/>
              </w:rPr>
            </w:pPr>
          </w:p>
        </w:tc>
        <w:tc>
          <w:tcPr>
            <w:tcW w:w="1701" w:type="dxa"/>
            <w:vAlign w:val="center"/>
          </w:tcPr>
          <w:p w14:paraId="7B0243F6" w14:textId="7DF05E96"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531,510,881</w:t>
            </w:r>
          </w:p>
        </w:tc>
        <w:tc>
          <w:tcPr>
            <w:tcW w:w="992" w:type="dxa"/>
            <w:vAlign w:val="center"/>
          </w:tcPr>
          <w:p w14:paraId="20F621EA" w14:textId="28086BBE"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24.79</w:t>
            </w:r>
          </w:p>
        </w:tc>
        <w:tc>
          <w:tcPr>
            <w:tcW w:w="1134" w:type="dxa"/>
            <w:vAlign w:val="center"/>
          </w:tcPr>
          <w:p w14:paraId="1D7FD711" w14:textId="5348CF24" w:rsidR="00527B54" w:rsidRPr="00527B54" w:rsidRDefault="00527B54" w:rsidP="00527B54">
            <w:pPr>
              <w:jc w:val="right"/>
              <w:rPr>
                <w:rFonts w:ascii="Times New Roman" w:eastAsiaTheme="majorEastAsia" w:hAnsi="Times New Roman"/>
                <w:sz w:val="21"/>
                <w:szCs w:val="21"/>
              </w:rPr>
            </w:pPr>
          </w:p>
        </w:tc>
        <w:tc>
          <w:tcPr>
            <w:tcW w:w="851" w:type="dxa"/>
            <w:vAlign w:val="center"/>
          </w:tcPr>
          <w:p w14:paraId="4C6A5E79" w14:textId="77777777" w:rsidR="00527B54" w:rsidRPr="00527B54" w:rsidRDefault="00527B54" w:rsidP="00527B54">
            <w:pPr>
              <w:jc w:val="center"/>
              <w:rPr>
                <w:rFonts w:ascii="Times New Roman" w:eastAsiaTheme="majorEastAsia" w:hAnsi="Times New Roman"/>
                <w:sz w:val="21"/>
                <w:szCs w:val="21"/>
              </w:rPr>
            </w:pPr>
            <w:r w:rsidRPr="00527B54">
              <w:rPr>
                <w:rFonts w:ascii="Times New Roman" w:eastAsiaTheme="majorEastAsia" w:hAnsi="Times New Roman"/>
                <w:sz w:val="21"/>
                <w:szCs w:val="21"/>
              </w:rPr>
              <w:t>In pledge</w:t>
            </w:r>
          </w:p>
        </w:tc>
        <w:tc>
          <w:tcPr>
            <w:tcW w:w="1276" w:type="dxa"/>
            <w:vAlign w:val="center"/>
          </w:tcPr>
          <w:p w14:paraId="27B723BF" w14:textId="6F1B6A54"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153,110,000</w:t>
            </w:r>
          </w:p>
        </w:tc>
      </w:tr>
      <w:tr w:rsidR="00527B54" w:rsidRPr="00916B56" w14:paraId="325570E3" w14:textId="77777777" w:rsidTr="00873CF4">
        <w:trPr>
          <w:cantSplit/>
          <w:trHeight w:val="916"/>
        </w:trPr>
        <w:tc>
          <w:tcPr>
            <w:tcW w:w="1843" w:type="dxa"/>
            <w:vAlign w:val="center"/>
          </w:tcPr>
          <w:p w14:paraId="1EEC7335" w14:textId="77777777" w:rsidR="00527B54" w:rsidRPr="00916B56" w:rsidRDefault="00527B54" w:rsidP="00873CF4">
            <w:pPr>
              <w:kinsoku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Ningbo Shengyue Venture Capital Partnership (Limited Partnership)</w:t>
            </w:r>
          </w:p>
        </w:tc>
        <w:tc>
          <w:tcPr>
            <w:tcW w:w="1843" w:type="dxa"/>
            <w:vAlign w:val="center"/>
          </w:tcPr>
          <w:p w14:paraId="700C69DB" w14:textId="27773F29" w:rsidR="00527B54" w:rsidRPr="00916B56" w:rsidRDefault="00527B54" w:rsidP="00527B54">
            <w:pPr>
              <w:jc w:val="right"/>
              <w:rPr>
                <w:rFonts w:ascii="Times New Roman" w:eastAsiaTheme="majorEastAsia" w:hAnsi="Times New Roman"/>
                <w:sz w:val="21"/>
                <w:szCs w:val="21"/>
              </w:rPr>
            </w:pPr>
          </w:p>
        </w:tc>
        <w:tc>
          <w:tcPr>
            <w:tcW w:w="1701" w:type="dxa"/>
            <w:vAlign w:val="center"/>
          </w:tcPr>
          <w:p w14:paraId="2745D9D7" w14:textId="3343EA0D"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230,261,325</w:t>
            </w:r>
          </w:p>
        </w:tc>
        <w:tc>
          <w:tcPr>
            <w:tcW w:w="992" w:type="dxa"/>
            <w:vAlign w:val="center"/>
          </w:tcPr>
          <w:p w14:paraId="3DC2DA82" w14:textId="116B9156"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10.74</w:t>
            </w:r>
          </w:p>
        </w:tc>
        <w:tc>
          <w:tcPr>
            <w:tcW w:w="1134" w:type="dxa"/>
            <w:vAlign w:val="center"/>
          </w:tcPr>
          <w:p w14:paraId="7745790D" w14:textId="2B3F8926" w:rsidR="00527B54" w:rsidRPr="00527B54" w:rsidRDefault="00527B54" w:rsidP="00527B54">
            <w:pPr>
              <w:jc w:val="right"/>
              <w:rPr>
                <w:rFonts w:ascii="Times New Roman" w:eastAsiaTheme="majorEastAsia" w:hAnsi="Times New Roman"/>
                <w:sz w:val="21"/>
                <w:szCs w:val="21"/>
              </w:rPr>
            </w:pPr>
          </w:p>
        </w:tc>
        <w:tc>
          <w:tcPr>
            <w:tcW w:w="851" w:type="dxa"/>
            <w:vAlign w:val="center"/>
          </w:tcPr>
          <w:p w14:paraId="3F41E108" w14:textId="77777777" w:rsidR="00527B54" w:rsidRPr="00527B54" w:rsidRDefault="00527B54" w:rsidP="00527B54">
            <w:pPr>
              <w:jc w:val="center"/>
              <w:rPr>
                <w:rFonts w:ascii="Times New Roman" w:eastAsiaTheme="majorEastAsia" w:hAnsi="Times New Roman"/>
                <w:sz w:val="21"/>
                <w:szCs w:val="21"/>
              </w:rPr>
            </w:pPr>
            <w:r w:rsidRPr="00527B54">
              <w:rPr>
                <w:rFonts w:ascii="Times New Roman" w:eastAsiaTheme="majorEastAsia" w:hAnsi="Times New Roman"/>
                <w:sz w:val="21"/>
                <w:szCs w:val="21"/>
              </w:rPr>
              <w:t>none</w:t>
            </w:r>
          </w:p>
        </w:tc>
        <w:tc>
          <w:tcPr>
            <w:tcW w:w="1276" w:type="dxa"/>
            <w:vAlign w:val="center"/>
          </w:tcPr>
          <w:p w14:paraId="5D62CCBE" w14:textId="09CB16EC"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 </w:t>
            </w:r>
          </w:p>
        </w:tc>
      </w:tr>
      <w:tr w:rsidR="00527B54" w:rsidRPr="00916B56" w14:paraId="0AF131F5" w14:textId="77777777" w:rsidTr="00873CF4">
        <w:trPr>
          <w:cantSplit/>
          <w:trHeight w:val="928"/>
        </w:trPr>
        <w:tc>
          <w:tcPr>
            <w:tcW w:w="1843" w:type="dxa"/>
            <w:vAlign w:val="center"/>
          </w:tcPr>
          <w:p w14:paraId="12D88278" w14:textId="77777777" w:rsidR="00527B54" w:rsidRPr="00916B56" w:rsidRDefault="00527B54" w:rsidP="00EB59AA">
            <w:pPr>
              <w:kinsoku w:val="0"/>
              <w:wordWrap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t>Ningbo Kuoneng Venture Capital Partnership (Limited Partnership)</w:t>
            </w:r>
          </w:p>
        </w:tc>
        <w:tc>
          <w:tcPr>
            <w:tcW w:w="1843" w:type="dxa"/>
            <w:vAlign w:val="center"/>
          </w:tcPr>
          <w:p w14:paraId="1711EC72" w14:textId="24BEE09D" w:rsidR="00527B54" w:rsidRPr="00916B56" w:rsidRDefault="00527B54" w:rsidP="00527B54">
            <w:pPr>
              <w:jc w:val="right"/>
              <w:rPr>
                <w:rFonts w:ascii="Times New Roman" w:eastAsiaTheme="majorEastAsia" w:hAnsi="Times New Roman"/>
                <w:sz w:val="21"/>
                <w:szCs w:val="21"/>
              </w:rPr>
            </w:pPr>
          </w:p>
        </w:tc>
        <w:tc>
          <w:tcPr>
            <w:tcW w:w="1701" w:type="dxa"/>
            <w:vAlign w:val="center"/>
          </w:tcPr>
          <w:p w14:paraId="25A88365" w14:textId="1AF0A6B9"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199,799,546</w:t>
            </w:r>
          </w:p>
        </w:tc>
        <w:tc>
          <w:tcPr>
            <w:tcW w:w="992" w:type="dxa"/>
            <w:vAlign w:val="center"/>
          </w:tcPr>
          <w:p w14:paraId="4CC57316" w14:textId="0910FACD"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9.32</w:t>
            </w:r>
          </w:p>
        </w:tc>
        <w:tc>
          <w:tcPr>
            <w:tcW w:w="1134" w:type="dxa"/>
            <w:vAlign w:val="center"/>
          </w:tcPr>
          <w:p w14:paraId="4DDCF213" w14:textId="3F7D2DF4" w:rsidR="00527B54" w:rsidRPr="00527B54" w:rsidRDefault="00527B54" w:rsidP="00527B54">
            <w:pPr>
              <w:jc w:val="right"/>
              <w:rPr>
                <w:rFonts w:ascii="Times New Roman" w:eastAsiaTheme="majorEastAsia" w:hAnsi="Times New Roman"/>
                <w:sz w:val="21"/>
                <w:szCs w:val="21"/>
              </w:rPr>
            </w:pPr>
          </w:p>
        </w:tc>
        <w:tc>
          <w:tcPr>
            <w:tcW w:w="851" w:type="dxa"/>
            <w:vAlign w:val="center"/>
          </w:tcPr>
          <w:p w14:paraId="303FB000" w14:textId="77777777" w:rsidR="00527B54" w:rsidRPr="00527B54" w:rsidRDefault="00527B54" w:rsidP="00527B54">
            <w:pPr>
              <w:jc w:val="center"/>
              <w:rPr>
                <w:rFonts w:ascii="Times New Roman" w:eastAsiaTheme="majorEastAsia" w:hAnsi="Times New Roman"/>
                <w:sz w:val="21"/>
                <w:szCs w:val="21"/>
              </w:rPr>
            </w:pPr>
            <w:r w:rsidRPr="00527B54">
              <w:rPr>
                <w:rFonts w:ascii="Times New Roman" w:eastAsiaTheme="majorEastAsia" w:hAnsi="Times New Roman"/>
                <w:sz w:val="21"/>
                <w:szCs w:val="21"/>
              </w:rPr>
              <w:t>none</w:t>
            </w:r>
          </w:p>
        </w:tc>
        <w:tc>
          <w:tcPr>
            <w:tcW w:w="1276" w:type="dxa"/>
            <w:vAlign w:val="center"/>
          </w:tcPr>
          <w:p w14:paraId="164FB576" w14:textId="4F3B1FB2" w:rsidR="00527B54" w:rsidRPr="00527B54" w:rsidRDefault="00527B54" w:rsidP="00527B54">
            <w:pPr>
              <w:ind w:rightChars="-118" w:right="-248"/>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 </w:t>
            </w:r>
          </w:p>
        </w:tc>
      </w:tr>
      <w:tr w:rsidR="00527B54" w:rsidRPr="00916B56" w14:paraId="3425B33D" w14:textId="77777777" w:rsidTr="00873CF4">
        <w:trPr>
          <w:cantSplit/>
          <w:trHeight w:val="305"/>
        </w:trPr>
        <w:tc>
          <w:tcPr>
            <w:tcW w:w="1843" w:type="dxa"/>
            <w:vAlign w:val="center"/>
          </w:tcPr>
          <w:p w14:paraId="62163F6C" w14:textId="77777777" w:rsidR="00527B54" w:rsidRPr="00916B56" w:rsidRDefault="00527B54" w:rsidP="00527B54">
            <w:pPr>
              <w:rPr>
                <w:rFonts w:ascii="Times New Roman" w:hAnsi="Times New Roman"/>
                <w:sz w:val="21"/>
                <w:szCs w:val="21"/>
              </w:rPr>
            </w:pPr>
            <w:r w:rsidRPr="00916B56">
              <w:rPr>
                <w:rFonts w:ascii="Times New Roman" w:hAnsi="Times New Roman"/>
                <w:sz w:val="21"/>
                <w:szCs w:val="21"/>
              </w:rPr>
              <w:t>Chen Wei</w:t>
            </w:r>
          </w:p>
        </w:tc>
        <w:tc>
          <w:tcPr>
            <w:tcW w:w="1843" w:type="dxa"/>
            <w:vAlign w:val="center"/>
          </w:tcPr>
          <w:p w14:paraId="0A8BEDA7" w14:textId="49BB9CE9" w:rsidR="00527B54" w:rsidRPr="00916B56" w:rsidRDefault="00527B54" w:rsidP="00527B54">
            <w:pPr>
              <w:jc w:val="right"/>
              <w:rPr>
                <w:rFonts w:ascii="Times New Roman" w:eastAsiaTheme="majorEastAsia" w:hAnsi="Times New Roman"/>
                <w:sz w:val="21"/>
                <w:szCs w:val="21"/>
              </w:rPr>
            </w:pPr>
          </w:p>
        </w:tc>
        <w:tc>
          <w:tcPr>
            <w:tcW w:w="1701" w:type="dxa"/>
            <w:vAlign w:val="center"/>
          </w:tcPr>
          <w:p w14:paraId="3528C3DC" w14:textId="23D1C396"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176,698,100</w:t>
            </w:r>
          </w:p>
        </w:tc>
        <w:tc>
          <w:tcPr>
            <w:tcW w:w="992" w:type="dxa"/>
            <w:vAlign w:val="center"/>
          </w:tcPr>
          <w:p w14:paraId="77EE9E7E" w14:textId="17A8917F"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8.24</w:t>
            </w:r>
          </w:p>
        </w:tc>
        <w:tc>
          <w:tcPr>
            <w:tcW w:w="1134" w:type="dxa"/>
            <w:vAlign w:val="center"/>
          </w:tcPr>
          <w:p w14:paraId="1843443B" w14:textId="4058B77E" w:rsidR="00527B54" w:rsidRPr="00527B54" w:rsidRDefault="00527B54" w:rsidP="00527B54">
            <w:pPr>
              <w:jc w:val="right"/>
              <w:rPr>
                <w:rFonts w:ascii="Times New Roman" w:eastAsiaTheme="majorEastAsia" w:hAnsi="Times New Roman"/>
                <w:sz w:val="21"/>
                <w:szCs w:val="21"/>
              </w:rPr>
            </w:pPr>
          </w:p>
        </w:tc>
        <w:tc>
          <w:tcPr>
            <w:tcW w:w="851" w:type="dxa"/>
            <w:vAlign w:val="center"/>
          </w:tcPr>
          <w:p w14:paraId="679D5A08" w14:textId="77777777" w:rsidR="00527B54" w:rsidRPr="00527B54" w:rsidRDefault="00527B54" w:rsidP="00527B54">
            <w:pPr>
              <w:jc w:val="center"/>
              <w:rPr>
                <w:rFonts w:ascii="Times New Roman" w:eastAsiaTheme="majorEastAsia" w:hAnsi="Times New Roman"/>
                <w:sz w:val="21"/>
                <w:szCs w:val="21"/>
              </w:rPr>
            </w:pPr>
            <w:r w:rsidRPr="00527B54">
              <w:rPr>
                <w:rFonts w:ascii="Times New Roman" w:eastAsiaTheme="majorEastAsia" w:hAnsi="Times New Roman"/>
                <w:sz w:val="21"/>
                <w:szCs w:val="21"/>
              </w:rPr>
              <w:t>none</w:t>
            </w:r>
          </w:p>
        </w:tc>
        <w:tc>
          <w:tcPr>
            <w:tcW w:w="1276" w:type="dxa"/>
            <w:vAlign w:val="center"/>
          </w:tcPr>
          <w:p w14:paraId="1A93D381" w14:textId="2A3BBFD7" w:rsidR="00527B54" w:rsidRPr="00527B54" w:rsidRDefault="00527B54" w:rsidP="00527B54">
            <w:pPr>
              <w:ind w:leftChars="-115" w:left="-241"/>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 </w:t>
            </w:r>
          </w:p>
        </w:tc>
      </w:tr>
      <w:tr w:rsidR="00527B54" w:rsidRPr="00916B56" w14:paraId="5359F368" w14:textId="77777777" w:rsidTr="00873CF4">
        <w:trPr>
          <w:cantSplit/>
          <w:trHeight w:val="611"/>
        </w:trPr>
        <w:tc>
          <w:tcPr>
            <w:tcW w:w="1843" w:type="dxa"/>
            <w:vAlign w:val="center"/>
          </w:tcPr>
          <w:p w14:paraId="2559E78E" w14:textId="77777777" w:rsidR="00527B54" w:rsidRPr="00916B56" w:rsidRDefault="00527B54" w:rsidP="00527B54">
            <w:pPr>
              <w:rPr>
                <w:rFonts w:ascii="Times New Roman" w:hAnsi="Times New Roman"/>
                <w:sz w:val="21"/>
                <w:szCs w:val="21"/>
              </w:rPr>
            </w:pPr>
            <w:r w:rsidRPr="00916B56">
              <w:rPr>
                <w:rFonts w:ascii="Times New Roman" w:hAnsi="Times New Roman"/>
                <w:sz w:val="21"/>
                <w:szCs w:val="21"/>
              </w:rPr>
              <w:t>HKSCC</w:t>
            </w:r>
          </w:p>
        </w:tc>
        <w:tc>
          <w:tcPr>
            <w:tcW w:w="1843" w:type="dxa"/>
            <w:vAlign w:val="center"/>
          </w:tcPr>
          <w:p w14:paraId="0514F580" w14:textId="5ABDD13B"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12,243,668</w:t>
            </w:r>
          </w:p>
        </w:tc>
        <w:tc>
          <w:tcPr>
            <w:tcW w:w="1701" w:type="dxa"/>
            <w:vAlign w:val="center"/>
          </w:tcPr>
          <w:p w14:paraId="101AEAD9" w14:textId="2AC33F16"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78,582,212</w:t>
            </w:r>
          </w:p>
        </w:tc>
        <w:tc>
          <w:tcPr>
            <w:tcW w:w="992" w:type="dxa"/>
            <w:vAlign w:val="center"/>
          </w:tcPr>
          <w:p w14:paraId="73B034E9" w14:textId="632FC58C"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3.66</w:t>
            </w:r>
          </w:p>
        </w:tc>
        <w:tc>
          <w:tcPr>
            <w:tcW w:w="1134" w:type="dxa"/>
            <w:vAlign w:val="center"/>
          </w:tcPr>
          <w:p w14:paraId="49EAC3AF" w14:textId="26842C0D" w:rsidR="00527B54" w:rsidRPr="00527B54" w:rsidRDefault="00527B54" w:rsidP="00527B54">
            <w:pPr>
              <w:jc w:val="right"/>
              <w:rPr>
                <w:rFonts w:ascii="Times New Roman" w:eastAsiaTheme="majorEastAsia" w:hAnsi="Times New Roman"/>
                <w:sz w:val="21"/>
                <w:szCs w:val="21"/>
              </w:rPr>
            </w:pPr>
          </w:p>
        </w:tc>
        <w:tc>
          <w:tcPr>
            <w:tcW w:w="851" w:type="dxa"/>
            <w:vAlign w:val="center"/>
          </w:tcPr>
          <w:p w14:paraId="4E61DFEC" w14:textId="77777777" w:rsidR="00527B54" w:rsidRPr="00527B54" w:rsidRDefault="00527B54" w:rsidP="00527B54">
            <w:pPr>
              <w:jc w:val="center"/>
              <w:rPr>
                <w:rFonts w:ascii="Times New Roman" w:eastAsiaTheme="majorEastAsia" w:hAnsi="Times New Roman"/>
                <w:sz w:val="21"/>
                <w:szCs w:val="21"/>
              </w:rPr>
            </w:pPr>
            <w:r w:rsidRPr="00527B54">
              <w:rPr>
                <w:rFonts w:ascii="Times New Roman" w:eastAsiaTheme="majorEastAsia" w:hAnsi="Times New Roman"/>
                <w:sz w:val="21"/>
                <w:szCs w:val="21"/>
              </w:rPr>
              <w:t>none</w:t>
            </w:r>
          </w:p>
        </w:tc>
        <w:tc>
          <w:tcPr>
            <w:tcW w:w="1276" w:type="dxa"/>
            <w:vAlign w:val="center"/>
          </w:tcPr>
          <w:p w14:paraId="1BD8484A" w14:textId="513B5C38" w:rsidR="00527B54" w:rsidRPr="00527B54"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 </w:t>
            </w:r>
          </w:p>
        </w:tc>
      </w:tr>
      <w:tr w:rsidR="00527B54" w:rsidRPr="00916B56" w14:paraId="7C76B1A7" w14:textId="77777777" w:rsidTr="00873CF4">
        <w:trPr>
          <w:cantSplit/>
          <w:trHeight w:val="1234"/>
        </w:trPr>
        <w:tc>
          <w:tcPr>
            <w:tcW w:w="1843" w:type="dxa"/>
            <w:vAlign w:val="center"/>
          </w:tcPr>
          <w:p w14:paraId="3CDBC349" w14:textId="77777777" w:rsidR="00527B54" w:rsidRPr="00916B56" w:rsidRDefault="00527B54" w:rsidP="00527B54">
            <w:pPr>
              <w:kinsoku w:val="0"/>
              <w:wordWrap w:val="0"/>
              <w:overflowPunct w:val="0"/>
              <w:autoSpaceDE w:val="0"/>
              <w:autoSpaceDN w:val="0"/>
              <w:adjustRightInd w:val="0"/>
              <w:snapToGrid w:val="0"/>
              <w:rPr>
                <w:rFonts w:ascii="Times New Roman" w:hAnsi="Times New Roman"/>
                <w:sz w:val="21"/>
                <w:szCs w:val="21"/>
              </w:rPr>
            </w:pPr>
            <w:r w:rsidRPr="00916B56">
              <w:rPr>
                <w:rFonts w:ascii="Times New Roman" w:hAnsi="Times New Roman"/>
                <w:sz w:val="21"/>
                <w:szCs w:val="21"/>
              </w:rPr>
              <w:lastRenderedPageBreak/>
              <w:t>Qi Xiaodong</w:t>
            </w:r>
          </w:p>
        </w:tc>
        <w:tc>
          <w:tcPr>
            <w:tcW w:w="1843" w:type="dxa"/>
            <w:vAlign w:val="center"/>
          </w:tcPr>
          <w:p w14:paraId="55DF8D94" w14:textId="3F109EA6" w:rsidR="00527B54" w:rsidRPr="00916B56" w:rsidRDefault="00527B54" w:rsidP="00527B54">
            <w:pPr>
              <w:jc w:val="right"/>
              <w:rPr>
                <w:rFonts w:ascii="Times New Roman" w:eastAsiaTheme="majorEastAsia" w:hAnsi="Times New Roman"/>
                <w:sz w:val="21"/>
                <w:szCs w:val="21"/>
              </w:rPr>
            </w:pPr>
          </w:p>
        </w:tc>
        <w:tc>
          <w:tcPr>
            <w:tcW w:w="1701" w:type="dxa"/>
            <w:vAlign w:val="center"/>
          </w:tcPr>
          <w:p w14:paraId="7C473A3B" w14:textId="0A587E9B"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37,990,000</w:t>
            </w:r>
          </w:p>
        </w:tc>
        <w:tc>
          <w:tcPr>
            <w:tcW w:w="992" w:type="dxa"/>
            <w:vAlign w:val="center"/>
          </w:tcPr>
          <w:p w14:paraId="5391F6F9" w14:textId="1E54B940"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1.77</w:t>
            </w:r>
          </w:p>
        </w:tc>
        <w:tc>
          <w:tcPr>
            <w:tcW w:w="1134" w:type="dxa"/>
            <w:vAlign w:val="center"/>
          </w:tcPr>
          <w:p w14:paraId="21BC8CF2" w14:textId="379AA8F1" w:rsidR="00527B54" w:rsidRPr="00527B54" w:rsidRDefault="00527B54" w:rsidP="00527B54">
            <w:pPr>
              <w:jc w:val="right"/>
              <w:rPr>
                <w:rFonts w:ascii="Times New Roman" w:eastAsiaTheme="majorEastAsia" w:hAnsi="Times New Roman"/>
                <w:sz w:val="21"/>
                <w:szCs w:val="21"/>
              </w:rPr>
            </w:pPr>
          </w:p>
        </w:tc>
        <w:tc>
          <w:tcPr>
            <w:tcW w:w="851" w:type="dxa"/>
            <w:vAlign w:val="center"/>
          </w:tcPr>
          <w:p w14:paraId="5977D543" w14:textId="77777777" w:rsidR="00527B54" w:rsidRPr="00527B54" w:rsidRDefault="00527B54" w:rsidP="00527B54">
            <w:pPr>
              <w:jc w:val="center"/>
              <w:rPr>
                <w:rFonts w:ascii="Times New Roman" w:eastAsiaTheme="majorEastAsia" w:hAnsi="Times New Roman"/>
                <w:sz w:val="21"/>
                <w:szCs w:val="21"/>
              </w:rPr>
            </w:pPr>
            <w:r w:rsidRPr="00527B54">
              <w:rPr>
                <w:rFonts w:ascii="Times New Roman" w:eastAsiaTheme="majorEastAsia" w:hAnsi="Times New Roman"/>
                <w:sz w:val="21"/>
                <w:szCs w:val="21"/>
              </w:rPr>
              <w:t>none</w:t>
            </w:r>
          </w:p>
        </w:tc>
        <w:tc>
          <w:tcPr>
            <w:tcW w:w="1276" w:type="dxa"/>
            <w:vAlign w:val="center"/>
          </w:tcPr>
          <w:p w14:paraId="653D51C4" w14:textId="6D4DA443" w:rsidR="00527B54" w:rsidRPr="00527B54"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 </w:t>
            </w:r>
          </w:p>
        </w:tc>
      </w:tr>
      <w:tr w:rsidR="00527B54" w:rsidRPr="00916B56" w14:paraId="634F9F11" w14:textId="77777777" w:rsidTr="00873CF4">
        <w:trPr>
          <w:cantSplit/>
          <w:trHeight w:val="1529"/>
        </w:trPr>
        <w:tc>
          <w:tcPr>
            <w:tcW w:w="1843" w:type="dxa"/>
            <w:vAlign w:val="center"/>
          </w:tcPr>
          <w:p w14:paraId="708A519F" w14:textId="51C3D1B7" w:rsidR="00527B54" w:rsidRPr="00916B56" w:rsidRDefault="00527B54" w:rsidP="00527B54">
            <w:pPr>
              <w:rPr>
                <w:rFonts w:ascii="Times New Roman" w:hAnsi="Times New Roman"/>
                <w:sz w:val="21"/>
                <w:szCs w:val="21"/>
              </w:rPr>
            </w:pPr>
            <w:r>
              <w:rPr>
                <w:rFonts w:ascii="Times New Roman" w:hAnsi="Times New Roman" w:hint="eastAsia"/>
                <w:sz w:val="21"/>
                <w:szCs w:val="21"/>
              </w:rPr>
              <w:t>H</w:t>
            </w:r>
            <w:r>
              <w:rPr>
                <w:rFonts w:ascii="Times New Roman" w:hAnsi="Times New Roman"/>
                <w:sz w:val="21"/>
                <w:szCs w:val="21"/>
              </w:rPr>
              <w:t>an Zhongwei</w:t>
            </w:r>
          </w:p>
        </w:tc>
        <w:tc>
          <w:tcPr>
            <w:tcW w:w="1843" w:type="dxa"/>
            <w:vAlign w:val="center"/>
          </w:tcPr>
          <w:p w14:paraId="056A27A4" w14:textId="3A54914A"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450,000</w:t>
            </w:r>
          </w:p>
        </w:tc>
        <w:tc>
          <w:tcPr>
            <w:tcW w:w="1701" w:type="dxa"/>
            <w:vAlign w:val="center"/>
          </w:tcPr>
          <w:p w14:paraId="547F8130" w14:textId="41B36588"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11,323,988</w:t>
            </w:r>
          </w:p>
        </w:tc>
        <w:tc>
          <w:tcPr>
            <w:tcW w:w="992" w:type="dxa"/>
            <w:vAlign w:val="center"/>
          </w:tcPr>
          <w:p w14:paraId="3A8BFAA2" w14:textId="2762FCB5"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0.53</w:t>
            </w:r>
          </w:p>
        </w:tc>
        <w:tc>
          <w:tcPr>
            <w:tcW w:w="1134" w:type="dxa"/>
            <w:vAlign w:val="center"/>
          </w:tcPr>
          <w:p w14:paraId="271AFDC8" w14:textId="4350048F" w:rsidR="00527B54" w:rsidRPr="00527B54" w:rsidRDefault="00527B54" w:rsidP="00527B54">
            <w:pPr>
              <w:jc w:val="right"/>
              <w:rPr>
                <w:rFonts w:ascii="Times New Roman" w:eastAsiaTheme="majorEastAsia" w:hAnsi="Times New Roman"/>
                <w:sz w:val="21"/>
                <w:szCs w:val="21"/>
              </w:rPr>
            </w:pPr>
          </w:p>
        </w:tc>
        <w:tc>
          <w:tcPr>
            <w:tcW w:w="851" w:type="dxa"/>
            <w:vAlign w:val="center"/>
          </w:tcPr>
          <w:p w14:paraId="5186AED5" w14:textId="3BC34274" w:rsidR="00527B54" w:rsidRPr="00527B54" w:rsidRDefault="00527B54" w:rsidP="00527B54">
            <w:pPr>
              <w:jc w:val="center"/>
              <w:rPr>
                <w:rFonts w:ascii="Times New Roman" w:eastAsiaTheme="majorEastAsia" w:hAnsi="Times New Roman"/>
                <w:sz w:val="21"/>
                <w:szCs w:val="21"/>
              </w:rPr>
            </w:pPr>
            <w:r w:rsidRPr="00527B54">
              <w:rPr>
                <w:rFonts w:ascii="Times New Roman" w:eastAsiaTheme="majorEastAsia" w:hAnsi="Times New Roman"/>
                <w:sz w:val="21"/>
                <w:szCs w:val="21"/>
              </w:rPr>
              <w:t>In pledge</w:t>
            </w:r>
          </w:p>
        </w:tc>
        <w:tc>
          <w:tcPr>
            <w:tcW w:w="1276" w:type="dxa"/>
            <w:vAlign w:val="center"/>
          </w:tcPr>
          <w:p w14:paraId="36EDFEAA" w14:textId="56A388F6" w:rsidR="00527B54" w:rsidRPr="00527B54"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5,000,000</w:t>
            </w:r>
          </w:p>
        </w:tc>
      </w:tr>
      <w:tr w:rsidR="00527B54" w:rsidRPr="00916B56" w14:paraId="0B3CBEDE" w14:textId="77777777" w:rsidTr="00873CF4">
        <w:trPr>
          <w:cantSplit/>
          <w:trHeight w:val="1540"/>
        </w:trPr>
        <w:tc>
          <w:tcPr>
            <w:tcW w:w="1843" w:type="dxa"/>
            <w:vAlign w:val="center"/>
          </w:tcPr>
          <w:p w14:paraId="00962AD1" w14:textId="28870FE6" w:rsidR="00527B54" w:rsidRPr="00916B56" w:rsidRDefault="00527B54" w:rsidP="00873CF4">
            <w:pPr>
              <w:rPr>
                <w:rFonts w:ascii="Times New Roman" w:hAnsi="Times New Roman"/>
                <w:sz w:val="21"/>
                <w:szCs w:val="21"/>
              </w:rPr>
            </w:pPr>
            <w:r w:rsidRPr="00527B54">
              <w:rPr>
                <w:rFonts w:ascii="Times New Roman" w:hAnsi="Times New Roman"/>
                <w:sz w:val="21"/>
                <w:szCs w:val="21"/>
              </w:rPr>
              <w:t>China Construction Bank Corporation Huaxia Energy Innovation Equity Securities Investment Fund</w:t>
            </w:r>
          </w:p>
        </w:tc>
        <w:tc>
          <w:tcPr>
            <w:tcW w:w="1843" w:type="dxa"/>
            <w:vAlign w:val="center"/>
          </w:tcPr>
          <w:p w14:paraId="1BF54D06" w14:textId="697DA46E"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-9,302,527</w:t>
            </w:r>
          </w:p>
        </w:tc>
        <w:tc>
          <w:tcPr>
            <w:tcW w:w="1701" w:type="dxa"/>
            <w:vAlign w:val="center"/>
          </w:tcPr>
          <w:p w14:paraId="2C98A265" w14:textId="445F20B3"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9,761,799</w:t>
            </w:r>
          </w:p>
        </w:tc>
        <w:tc>
          <w:tcPr>
            <w:tcW w:w="992" w:type="dxa"/>
            <w:vAlign w:val="center"/>
          </w:tcPr>
          <w:p w14:paraId="769AB90B" w14:textId="69270F22"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0.46</w:t>
            </w:r>
          </w:p>
        </w:tc>
        <w:tc>
          <w:tcPr>
            <w:tcW w:w="1134" w:type="dxa"/>
            <w:vAlign w:val="center"/>
          </w:tcPr>
          <w:p w14:paraId="28B9D3F8" w14:textId="6FCBC813" w:rsidR="00527B54" w:rsidRPr="00527B54" w:rsidRDefault="00527B54" w:rsidP="00527B54">
            <w:pPr>
              <w:jc w:val="right"/>
              <w:rPr>
                <w:rFonts w:ascii="Times New Roman" w:eastAsiaTheme="majorEastAsia" w:hAnsi="Times New Roman"/>
                <w:sz w:val="21"/>
                <w:szCs w:val="21"/>
              </w:rPr>
            </w:pPr>
          </w:p>
        </w:tc>
        <w:tc>
          <w:tcPr>
            <w:tcW w:w="851" w:type="dxa"/>
            <w:vAlign w:val="center"/>
          </w:tcPr>
          <w:p w14:paraId="7C05A1CA" w14:textId="77777777" w:rsidR="00527B54" w:rsidRPr="00527B54" w:rsidRDefault="00527B54" w:rsidP="00527B54">
            <w:pPr>
              <w:jc w:val="center"/>
              <w:rPr>
                <w:rFonts w:ascii="Times New Roman" w:eastAsiaTheme="majorEastAsia" w:hAnsi="Times New Roman"/>
                <w:sz w:val="21"/>
                <w:szCs w:val="21"/>
              </w:rPr>
            </w:pPr>
            <w:r w:rsidRPr="00527B54">
              <w:rPr>
                <w:rFonts w:ascii="Times New Roman" w:eastAsiaTheme="majorEastAsia" w:hAnsi="Times New Roman"/>
                <w:sz w:val="21"/>
                <w:szCs w:val="21"/>
              </w:rPr>
              <w:t>none</w:t>
            </w:r>
          </w:p>
        </w:tc>
        <w:tc>
          <w:tcPr>
            <w:tcW w:w="1276" w:type="dxa"/>
            <w:vAlign w:val="center"/>
          </w:tcPr>
          <w:p w14:paraId="7F1CB445" w14:textId="5ACA317D" w:rsidR="00527B54" w:rsidRPr="00527B54"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 </w:t>
            </w:r>
          </w:p>
        </w:tc>
      </w:tr>
      <w:tr w:rsidR="00527B54" w:rsidRPr="00916B56" w14:paraId="116E5241" w14:textId="77777777" w:rsidTr="00873CF4">
        <w:trPr>
          <w:cantSplit/>
          <w:trHeight w:val="1540"/>
        </w:trPr>
        <w:tc>
          <w:tcPr>
            <w:tcW w:w="1843" w:type="dxa"/>
            <w:vAlign w:val="center"/>
          </w:tcPr>
          <w:p w14:paraId="3473119B" w14:textId="4CD43B1A" w:rsidR="00527B54" w:rsidRPr="00916B56" w:rsidRDefault="00527B54" w:rsidP="00873CF4">
            <w:pPr>
              <w:rPr>
                <w:rFonts w:ascii="Times New Roman" w:hAnsi="Times New Roman"/>
                <w:szCs w:val="21"/>
              </w:rPr>
            </w:pPr>
            <w:r>
              <w:rPr>
                <w:rFonts w:ascii="Times New Roman" w:hAnsi="Times New Roman" w:hint="eastAsia"/>
                <w:szCs w:val="21"/>
              </w:rPr>
              <w:t>L</w:t>
            </w:r>
            <w:r>
              <w:rPr>
                <w:rFonts w:ascii="Times New Roman" w:hAnsi="Times New Roman"/>
                <w:szCs w:val="21"/>
              </w:rPr>
              <w:t>iu Fang</w:t>
            </w:r>
          </w:p>
        </w:tc>
        <w:tc>
          <w:tcPr>
            <w:tcW w:w="1843" w:type="dxa"/>
            <w:vAlign w:val="center"/>
          </w:tcPr>
          <w:p w14:paraId="3D7741AC" w14:textId="4569BE42"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190,400</w:t>
            </w:r>
          </w:p>
        </w:tc>
        <w:tc>
          <w:tcPr>
            <w:tcW w:w="1701" w:type="dxa"/>
            <w:vAlign w:val="center"/>
          </w:tcPr>
          <w:p w14:paraId="231F3F93" w14:textId="276F5B4D"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9,366,333</w:t>
            </w:r>
          </w:p>
        </w:tc>
        <w:tc>
          <w:tcPr>
            <w:tcW w:w="992" w:type="dxa"/>
            <w:vAlign w:val="center"/>
          </w:tcPr>
          <w:p w14:paraId="00D6A6F3" w14:textId="36955D2C"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0.44</w:t>
            </w:r>
          </w:p>
        </w:tc>
        <w:tc>
          <w:tcPr>
            <w:tcW w:w="1134" w:type="dxa"/>
            <w:vAlign w:val="center"/>
          </w:tcPr>
          <w:p w14:paraId="45CF62C3" w14:textId="77C770D8" w:rsidR="00527B54" w:rsidRPr="00916B56" w:rsidRDefault="00527B54" w:rsidP="00527B54">
            <w:pPr>
              <w:jc w:val="right"/>
              <w:rPr>
                <w:rFonts w:ascii="Times New Roman" w:eastAsiaTheme="majorEastAsia" w:hAnsi="Times New Roman"/>
                <w:sz w:val="21"/>
                <w:szCs w:val="21"/>
              </w:rPr>
            </w:pPr>
          </w:p>
        </w:tc>
        <w:tc>
          <w:tcPr>
            <w:tcW w:w="851" w:type="dxa"/>
            <w:vAlign w:val="center"/>
          </w:tcPr>
          <w:p w14:paraId="400CAC4E" w14:textId="77777777" w:rsidR="00527B54" w:rsidRPr="00916B56" w:rsidRDefault="00527B54" w:rsidP="00527B54">
            <w:pPr>
              <w:jc w:val="center"/>
              <w:rPr>
                <w:rFonts w:ascii="Times New Roman" w:eastAsiaTheme="majorEastAsia" w:hAnsi="Times New Roman"/>
                <w:sz w:val="21"/>
                <w:szCs w:val="21"/>
              </w:rPr>
            </w:pPr>
            <w:r w:rsidRPr="00916B56">
              <w:rPr>
                <w:rFonts w:ascii="Times New Roman" w:eastAsiaTheme="majorEastAsia" w:hAnsi="Times New Roman" w:hint="eastAsia"/>
                <w:sz w:val="21"/>
                <w:szCs w:val="21"/>
              </w:rPr>
              <w:t>n</w:t>
            </w:r>
            <w:r w:rsidRPr="00916B56">
              <w:rPr>
                <w:rFonts w:ascii="Times New Roman" w:eastAsiaTheme="majorEastAsia" w:hAnsi="Times New Roman"/>
                <w:sz w:val="21"/>
                <w:szCs w:val="21"/>
              </w:rPr>
              <w:t>one</w:t>
            </w:r>
          </w:p>
        </w:tc>
        <w:tc>
          <w:tcPr>
            <w:tcW w:w="1276" w:type="dxa"/>
            <w:vAlign w:val="center"/>
          </w:tcPr>
          <w:p w14:paraId="413B0CFE" w14:textId="19D9665F" w:rsidR="00527B54" w:rsidRPr="00527B54"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 </w:t>
            </w:r>
          </w:p>
        </w:tc>
      </w:tr>
      <w:tr w:rsidR="00527B54" w:rsidRPr="00916B56" w14:paraId="3D6BBFE9" w14:textId="77777777" w:rsidTr="00873CF4">
        <w:trPr>
          <w:cantSplit/>
          <w:trHeight w:val="305"/>
        </w:trPr>
        <w:tc>
          <w:tcPr>
            <w:tcW w:w="1843" w:type="dxa"/>
            <w:vAlign w:val="center"/>
          </w:tcPr>
          <w:p w14:paraId="50564341" w14:textId="7BB6BB31" w:rsidR="00527B54" w:rsidRPr="00916B56" w:rsidRDefault="00527B54" w:rsidP="00873CF4">
            <w:pPr>
              <w:rPr>
                <w:rFonts w:ascii="Times New Roman" w:hAnsi="Times New Roman"/>
                <w:sz w:val="21"/>
                <w:szCs w:val="21"/>
              </w:rPr>
            </w:pPr>
            <w:r w:rsidRPr="00527B54">
              <w:rPr>
                <w:rFonts w:ascii="Times New Roman" w:hAnsi="Times New Roman"/>
                <w:sz w:val="21"/>
                <w:szCs w:val="21"/>
              </w:rPr>
              <w:t>China Life Insurance Co., Ltd. - Traditional - General Insurance Products -005L-CT001 Shanghai</w:t>
            </w:r>
          </w:p>
        </w:tc>
        <w:tc>
          <w:tcPr>
            <w:tcW w:w="1843" w:type="dxa"/>
            <w:vAlign w:val="center"/>
          </w:tcPr>
          <w:p w14:paraId="185F04EF" w14:textId="27FC6140"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2,129,281</w:t>
            </w:r>
          </w:p>
        </w:tc>
        <w:tc>
          <w:tcPr>
            <w:tcW w:w="1701" w:type="dxa"/>
            <w:vAlign w:val="center"/>
          </w:tcPr>
          <w:p w14:paraId="104D0305" w14:textId="2293F008"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9,160,455</w:t>
            </w:r>
          </w:p>
        </w:tc>
        <w:tc>
          <w:tcPr>
            <w:tcW w:w="992" w:type="dxa"/>
            <w:vAlign w:val="center"/>
          </w:tcPr>
          <w:p w14:paraId="75798126" w14:textId="5858FDAB" w:rsidR="00527B54" w:rsidRPr="00916B56" w:rsidRDefault="00527B54" w:rsidP="00527B54">
            <w:pPr>
              <w:jc w:val="right"/>
              <w:rPr>
                <w:rFonts w:ascii="Times New Roman" w:eastAsiaTheme="majorEastAsia" w:hAnsi="Times New Roman"/>
                <w:sz w:val="21"/>
                <w:szCs w:val="21"/>
              </w:rPr>
            </w:pPr>
            <w:r w:rsidRPr="00527B54">
              <w:rPr>
                <w:rFonts w:ascii="Times New Roman" w:eastAsiaTheme="majorEastAsia" w:hAnsi="Times New Roman" w:hint="eastAsia"/>
                <w:sz w:val="21"/>
                <w:szCs w:val="21"/>
              </w:rPr>
              <w:t>0.43</w:t>
            </w:r>
          </w:p>
        </w:tc>
        <w:tc>
          <w:tcPr>
            <w:tcW w:w="1134" w:type="dxa"/>
            <w:vAlign w:val="center"/>
          </w:tcPr>
          <w:p w14:paraId="515C80B2" w14:textId="3940F6B2" w:rsidR="00527B54" w:rsidRPr="00916B56" w:rsidRDefault="00527B54" w:rsidP="00527B54">
            <w:pPr>
              <w:jc w:val="right"/>
              <w:rPr>
                <w:rFonts w:ascii="Times New Roman" w:eastAsiaTheme="majorEastAsia" w:hAnsi="Times New Roman"/>
                <w:sz w:val="21"/>
                <w:szCs w:val="21"/>
              </w:rPr>
            </w:pPr>
          </w:p>
        </w:tc>
        <w:tc>
          <w:tcPr>
            <w:tcW w:w="851" w:type="dxa"/>
            <w:vAlign w:val="center"/>
          </w:tcPr>
          <w:p w14:paraId="64C20A19" w14:textId="77777777" w:rsidR="00527B54" w:rsidRPr="00916B56" w:rsidRDefault="00527B54" w:rsidP="00527B54">
            <w:pPr>
              <w:jc w:val="center"/>
              <w:rPr>
                <w:rFonts w:ascii="Times New Roman" w:eastAsiaTheme="majorEastAsia" w:hAnsi="Times New Roman"/>
                <w:sz w:val="21"/>
                <w:szCs w:val="21"/>
              </w:rPr>
            </w:pPr>
            <w:r w:rsidRPr="00916B56">
              <w:rPr>
                <w:rFonts w:ascii="Times New Roman" w:eastAsiaTheme="majorEastAsia" w:hAnsi="Times New Roman"/>
                <w:sz w:val="21"/>
                <w:szCs w:val="21"/>
              </w:rPr>
              <w:t>none</w:t>
            </w:r>
          </w:p>
        </w:tc>
        <w:tc>
          <w:tcPr>
            <w:tcW w:w="1276" w:type="dxa"/>
            <w:vAlign w:val="center"/>
          </w:tcPr>
          <w:p w14:paraId="030A4E55" w14:textId="44391BCF" w:rsidR="00527B54" w:rsidRPr="00527B54" w:rsidRDefault="00527B54" w:rsidP="00527B54">
            <w:pPr>
              <w:jc w:val="center"/>
              <w:rPr>
                <w:rFonts w:ascii="Times New Roman" w:eastAsiaTheme="majorEastAsia" w:hAnsi="Times New Roman"/>
                <w:sz w:val="21"/>
                <w:szCs w:val="21"/>
              </w:rPr>
            </w:pPr>
            <w:r w:rsidRPr="00527B54">
              <w:rPr>
                <w:rFonts w:ascii="Times New Roman" w:eastAsiaTheme="majorEastAsia" w:hAnsi="Times New Roman" w:hint="eastAsia"/>
                <w:sz w:val="21"/>
                <w:szCs w:val="21"/>
              </w:rPr>
              <w:t> </w:t>
            </w:r>
          </w:p>
        </w:tc>
      </w:tr>
    </w:tbl>
    <w:p w14:paraId="69AE2DDA" w14:textId="77777777" w:rsidR="00915114" w:rsidRPr="00916B56" w:rsidRDefault="00915114" w:rsidP="00915114">
      <w:pPr>
        <w:spacing w:line="276" w:lineRule="auto"/>
        <w:ind w:firstLineChars="200" w:firstLine="420"/>
        <w:jc w:val="right"/>
        <w:rPr>
          <w:rFonts w:ascii="Times New Roman" w:hAnsi="Times New Roman" w:cs="Times New Roman"/>
          <w:szCs w:val="21"/>
          <w:lang w:val="en"/>
        </w:rPr>
      </w:pPr>
    </w:p>
    <w:p w14:paraId="5A21FDBA" w14:textId="77777777" w:rsidR="00915114" w:rsidRPr="00916B56" w:rsidRDefault="00915114" w:rsidP="00915114">
      <w:pPr>
        <w:spacing w:line="276" w:lineRule="auto"/>
        <w:ind w:firstLineChars="200" w:firstLine="420"/>
        <w:jc w:val="right"/>
        <w:rPr>
          <w:rFonts w:ascii="Times New Roman" w:hAnsi="Times New Roman" w:cs="Times New Roman"/>
          <w:szCs w:val="21"/>
          <w:lang w:val="en"/>
        </w:rPr>
      </w:pPr>
    </w:p>
    <w:p w14:paraId="650FBA3C" w14:textId="77777777" w:rsidR="00915114" w:rsidRPr="00916B56" w:rsidRDefault="00915114" w:rsidP="00915114">
      <w:pPr>
        <w:jc w:val="right"/>
        <w:rPr>
          <w:rFonts w:ascii="Times New Roman" w:hAnsi="Times New Roman" w:cs="Times New Roman"/>
          <w:szCs w:val="21"/>
          <w:lang w:val="en"/>
        </w:rPr>
      </w:pPr>
      <w:r w:rsidRPr="00916B56">
        <w:rPr>
          <w:rFonts w:ascii="Times New Roman" w:hAnsi="Times New Roman" w:cs="Times New Roman"/>
          <w:szCs w:val="21"/>
          <w:lang w:val="en"/>
        </w:rPr>
        <w:t>Shanghai</w:t>
      </w:r>
      <w:r w:rsidR="00E63A80" w:rsidRPr="00916B56">
        <w:rPr>
          <w:rFonts w:ascii="Times New Roman" w:hAnsi="Times New Roman" w:cs="Times New Roman"/>
          <w:szCs w:val="21"/>
          <w:lang w:val="en"/>
        </w:rPr>
        <w:t xml:space="preserve"> Putailai New Energy Technology Group </w:t>
      </w:r>
      <w:r w:rsidRPr="00916B56">
        <w:rPr>
          <w:rFonts w:ascii="Times New Roman" w:hAnsi="Times New Roman" w:cs="Times New Roman"/>
          <w:szCs w:val="21"/>
          <w:lang w:val="en"/>
        </w:rPr>
        <w:t>Co., Ltd.</w:t>
      </w:r>
    </w:p>
    <w:p w14:paraId="27687EB1" w14:textId="77777777" w:rsidR="00007BA7" w:rsidRPr="00916B56" w:rsidRDefault="00007BA7" w:rsidP="00915114">
      <w:pPr>
        <w:rPr>
          <w:rFonts w:ascii="Times New Roman" w:hAnsi="Times New Roman" w:cs="Times New Roman"/>
          <w:szCs w:val="21"/>
          <w:lang w:val="en"/>
        </w:rPr>
      </w:pPr>
    </w:p>
    <w:sectPr w:rsidR="00007BA7" w:rsidRPr="00916B56">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2587F4" w14:textId="77777777" w:rsidR="00040EEC" w:rsidRDefault="00040EEC">
      <w:r>
        <w:separator/>
      </w:r>
    </w:p>
  </w:endnote>
  <w:endnote w:type="continuationSeparator" w:id="0">
    <w:p w14:paraId="7A641333" w14:textId="77777777" w:rsidR="00040EEC" w:rsidRDefault="00040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BD3979" w14:textId="77777777" w:rsidR="00040EEC" w:rsidRDefault="00040EEC">
      <w:r>
        <w:separator/>
      </w:r>
    </w:p>
  </w:footnote>
  <w:footnote w:type="continuationSeparator" w:id="0">
    <w:p w14:paraId="4161814E" w14:textId="77777777" w:rsidR="00040EEC" w:rsidRDefault="00040EE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2AA8B" w14:textId="77777777" w:rsidR="0059463E" w:rsidRDefault="0059463E" w:rsidP="0079560C">
    <w:pPr>
      <w:pStyle w:val="a4"/>
      <w:jc w:val="left"/>
    </w:pPr>
    <w:r>
      <w:rPr>
        <w:noProof/>
        <w:lang w:val="en-US"/>
      </w:rPr>
      <w:drawing>
        <wp:inline distT="0" distB="0" distL="0" distR="0" wp14:anchorId="513C5984" wp14:editId="13430841">
          <wp:extent cx="962214" cy="322746"/>
          <wp:effectExtent l="0" t="0" r="0"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标志.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50444" cy="3523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84AB5"/>
    <w:multiLevelType w:val="hybridMultilevel"/>
    <w:tmpl w:val="130639BC"/>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1" w15:restartNumberingAfterBreak="0">
    <w:nsid w:val="054F54F2"/>
    <w:multiLevelType w:val="hybridMultilevel"/>
    <w:tmpl w:val="2EB89618"/>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2" w15:restartNumberingAfterBreak="0">
    <w:nsid w:val="06743F47"/>
    <w:multiLevelType w:val="hybridMultilevel"/>
    <w:tmpl w:val="AA888FB6"/>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3" w15:restartNumberingAfterBreak="0">
    <w:nsid w:val="06C272BD"/>
    <w:multiLevelType w:val="hybridMultilevel"/>
    <w:tmpl w:val="2CF29F1E"/>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4" w15:restartNumberingAfterBreak="0">
    <w:nsid w:val="0F9748A0"/>
    <w:multiLevelType w:val="hybridMultilevel"/>
    <w:tmpl w:val="C5503F40"/>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5" w15:restartNumberingAfterBreak="0">
    <w:nsid w:val="13E15A32"/>
    <w:multiLevelType w:val="hybridMultilevel"/>
    <w:tmpl w:val="5BD8F3B0"/>
    <w:lvl w:ilvl="0" w:tplc="DB96B124">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18436BB5"/>
    <w:multiLevelType w:val="hybridMultilevel"/>
    <w:tmpl w:val="F83256B4"/>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7" w15:restartNumberingAfterBreak="0">
    <w:nsid w:val="1F134310"/>
    <w:multiLevelType w:val="hybridMultilevel"/>
    <w:tmpl w:val="9BFEE25A"/>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8" w15:restartNumberingAfterBreak="0">
    <w:nsid w:val="204F3B0A"/>
    <w:multiLevelType w:val="multilevel"/>
    <w:tmpl w:val="A4A265BC"/>
    <w:lvl w:ilvl="0">
      <w:start w:val="1"/>
      <w:numFmt w:val="chineseCountingThousand"/>
      <w:lvlText w:val="(%1)"/>
      <w:lvlJc w:val="left"/>
      <w:pPr>
        <w:ind w:left="0" w:firstLine="0"/>
      </w:pPr>
      <w:rPr>
        <w:rFonts w:hint="default"/>
      </w:rPr>
    </w:lvl>
    <w:lvl w:ilvl="1">
      <w:start w:val="1"/>
      <w:numFmt w:val="decimal"/>
      <w:lvlText w:val="%2、"/>
      <w:lvlJc w:val="left"/>
      <w:pPr>
        <w:ind w:left="0" w:firstLine="0"/>
      </w:pPr>
      <w:rPr>
        <w:rFonts w:hint="eastAsia"/>
      </w:rPr>
    </w:lvl>
    <w:lvl w:ilvl="2">
      <w:start w:val="1"/>
      <w:numFmt w:val="chineseCountingThousand"/>
      <w:suff w:val="nothing"/>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 w15:restartNumberingAfterBreak="0">
    <w:nsid w:val="20506380"/>
    <w:multiLevelType w:val="hybridMultilevel"/>
    <w:tmpl w:val="D77A1636"/>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10" w15:restartNumberingAfterBreak="0">
    <w:nsid w:val="246C0E3A"/>
    <w:multiLevelType w:val="multilevel"/>
    <w:tmpl w:val="0AA00B50"/>
    <w:lvl w:ilvl="0">
      <w:start w:val="1"/>
      <w:numFmt w:val="decimal"/>
      <w:lvlText w:val="(%1). "/>
      <w:lvlJc w:val="left"/>
      <w:pPr>
        <w:ind w:left="425" w:hanging="425"/>
      </w:pPr>
      <w:rPr>
        <w:rFonts w:hint="eastAsia"/>
        <w:color w:val="auto"/>
        <w:u w:val="none"/>
      </w:rPr>
    </w:lvl>
    <w:lvl w:ilvl="1">
      <w:start w:val="1"/>
      <w:numFmt w:val="upperLetter"/>
      <w:lvlText w:val="%2."/>
      <w:lvlJc w:val="left"/>
      <w:pPr>
        <w:ind w:left="567" w:hanging="567"/>
      </w:pPr>
      <w:rPr>
        <w:rFonts w:hint="eastAsia"/>
        <w:strike w:val="0"/>
        <w:color w:val="auto"/>
        <w:bdr w:val="none" w:sz="0" w:space="0" w:color="auto"/>
        <w:lang w:val="en"/>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15:restartNumberingAfterBreak="0">
    <w:nsid w:val="26AA75C2"/>
    <w:multiLevelType w:val="hybridMultilevel"/>
    <w:tmpl w:val="99700724"/>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12" w15:restartNumberingAfterBreak="0">
    <w:nsid w:val="279961B1"/>
    <w:multiLevelType w:val="hybridMultilevel"/>
    <w:tmpl w:val="2D207C42"/>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13" w15:restartNumberingAfterBreak="0">
    <w:nsid w:val="2A0B1461"/>
    <w:multiLevelType w:val="hybridMultilevel"/>
    <w:tmpl w:val="0FB29EC6"/>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14" w15:restartNumberingAfterBreak="0">
    <w:nsid w:val="2D2C3901"/>
    <w:multiLevelType w:val="hybridMultilevel"/>
    <w:tmpl w:val="89DADCD4"/>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15" w15:restartNumberingAfterBreak="0">
    <w:nsid w:val="2E97208D"/>
    <w:multiLevelType w:val="hybridMultilevel"/>
    <w:tmpl w:val="23BC3578"/>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16" w15:restartNumberingAfterBreak="0">
    <w:nsid w:val="2EE07FA7"/>
    <w:multiLevelType w:val="hybridMultilevel"/>
    <w:tmpl w:val="50D21DA4"/>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17" w15:restartNumberingAfterBreak="0">
    <w:nsid w:val="34130DA3"/>
    <w:multiLevelType w:val="hybridMultilevel"/>
    <w:tmpl w:val="F0D8119C"/>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18" w15:restartNumberingAfterBreak="0">
    <w:nsid w:val="35442C4E"/>
    <w:multiLevelType w:val="hybridMultilevel"/>
    <w:tmpl w:val="CFCA1834"/>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19" w15:restartNumberingAfterBreak="0">
    <w:nsid w:val="49A34214"/>
    <w:multiLevelType w:val="hybridMultilevel"/>
    <w:tmpl w:val="13201712"/>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20" w15:restartNumberingAfterBreak="0">
    <w:nsid w:val="4CF046CF"/>
    <w:multiLevelType w:val="hybridMultilevel"/>
    <w:tmpl w:val="878EF324"/>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21" w15:restartNumberingAfterBreak="0">
    <w:nsid w:val="635B660A"/>
    <w:multiLevelType w:val="hybridMultilevel"/>
    <w:tmpl w:val="9392E9D8"/>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22" w15:restartNumberingAfterBreak="0">
    <w:nsid w:val="66D1227A"/>
    <w:multiLevelType w:val="hybridMultilevel"/>
    <w:tmpl w:val="5C18766E"/>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23" w15:restartNumberingAfterBreak="0">
    <w:nsid w:val="684A2AC7"/>
    <w:multiLevelType w:val="hybridMultilevel"/>
    <w:tmpl w:val="D85849D4"/>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24" w15:restartNumberingAfterBreak="0">
    <w:nsid w:val="6CAF43A5"/>
    <w:multiLevelType w:val="hybridMultilevel"/>
    <w:tmpl w:val="6D26D7A6"/>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25" w15:restartNumberingAfterBreak="0">
    <w:nsid w:val="7130137B"/>
    <w:multiLevelType w:val="hybridMultilevel"/>
    <w:tmpl w:val="FC5E3770"/>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26" w15:restartNumberingAfterBreak="0">
    <w:nsid w:val="72950BBF"/>
    <w:multiLevelType w:val="hybridMultilevel"/>
    <w:tmpl w:val="BD2E1E82"/>
    <w:lvl w:ilvl="0" w:tplc="04090001">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27" w15:restartNumberingAfterBreak="0">
    <w:nsid w:val="734A33F2"/>
    <w:multiLevelType w:val="hybridMultilevel"/>
    <w:tmpl w:val="4DC620B0"/>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28" w15:restartNumberingAfterBreak="0">
    <w:nsid w:val="7B791D61"/>
    <w:multiLevelType w:val="hybridMultilevel"/>
    <w:tmpl w:val="C0202A2C"/>
    <w:lvl w:ilvl="0" w:tplc="DB96B124">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num w:numId="1">
    <w:abstractNumId w:val="10"/>
  </w:num>
  <w:num w:numId="2">
    <w:abstractNumId w:val="8"/>
  </w:num>
  <w:num w:numId="3">
    <w:abstractNumId w:val="19"/>
  </w:num>
  <w:num w:numId="4">
    <w:abstractNumId w:val="3"/>
  </w:num>
  <w:num w:numId="5">
    <w:abstractNumId w:val="5"/>
  </w:num>
  <w:num w:numId="6">
    <w:abstractNumId w:val="13"/>
  </w:num>
  <w:num w:numId="7">
    <w:abstractNumId w:val="25"/>
  </w:num>
  <w:num w:numId="8">
    <w:abstractNumId w:val="1"/>
  </w:num>
  <w:num w:numId="9">
    <w:abstractNumId w:val="22"/>
  </w:num>
  <w:num w:numId="10">
    <w:abstractNumId w:val="24"/>
  </w:num>
  <w:num w:numId="11">
    <w:abstractNumId w:val="2"/>
  </w:num>
  <w:num w:numId="12">
    <w:abstractNumId w:val="20"/>
  </w:num>
  <w:num w:numId="13">
    <w:abstractNumId w:val="7"/>
  </w:num>
  <w:num w:numId="14">
    <w:abstractNumId w:val="17"/>
  </w:num>
  <w:num w:numId="15">
    <w:abstractNumId w:val="4"/>
  </w:num>
  <w:num w:numId="16">
    <w:abstractNumId w:val="18"/>
  </w:num>
  <w:num w:numId="17">
    <w:abstractNumId w:val="9"/>
  </w:num>
  <w:num w:numId="18">
    <w:abstractNumId w:val="23"/>
  </w:num>
  <w:num w:numId="19">
    <w:abstractNumId w:val="21"/>
  </w:num>
  <w:num w:numId="20">
    <w:abstractNumId w:val="12"/>
  </w:num>
  <w:num w:numId="21">
    <w:abstractNumId w:val="6"/>
  </w:num>
  <w:num w:numId="22">
    <w:abstractNumId w:val="14"/>
  </w:num>
  <w:num w:numId="23">
    <w:abstractNumId w:val="15"/>
  </w:num>
  <w:num w:numId="24">
    <w:abstractNumId w:val="27"/>
  </w:num>
  <w:num w:numId="25">
    <w:abstractNumId w:val="26"/>
  </w:num>
  <w:num w:numId="26">
    <w:abstractNumId w:val="28"/>
  </w:num>
  <w:num w:numId="27">
    <w:abstractNumId w:val="11"/>
  </w:num>
  <w:num w:numId="28">
    <w:abstractNumId w:val="16"/>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en" w:vendorID="64" w:dllVersion="6"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activeWritingStyle w:appName="MSWord" w:lang="en-US" w:vendorID="64" w:dllVersion="131078" w:nlCheck="1" w:checkStyle="0"/>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114"/>
    <w:rsid w:val="00007BA7"/>
    <w:rsid w:val="00010043"/>
    <w:rsid w:val="000241E2"/>
    <w:rsid w:val="00036AF1"/>
    <w:rsid w:val="00040EEC"/>
    <w:rsid w:val="0005037A"/>
    <w:rsid w:val="0006142A"/>
    <w:rsid w:val="00072A8E"/>
    <w:rsid w:val="00073EEC"/>
    <w:rsid w:val="00077124"/>
    <w:rsid w:val="00077242"/>
    <w:rsid w:val="0008344C"/>
    <w:rsid w:val="00097481"/>
    <w:rsid w:val="000B3687"/>
    <w:rsid w:val="000C1788"/>
    <w:rsid w:val="000C58D4"/>
    <w:rsid w:val="000D5FE4"/>
    <w:rsid w:val="000E2856"/>
    <w:rsid w:val="000E410F"/>
    <w:rsid w:val="000E5116"/>
    <w:rsid w:val="000F5337"/>
    <w:rsid w:val="000F66D7"/>
    <w:rsid w:val="001004CB"/>
    <w:rsid w:val="001104F4"/>
    <w:rsid w:val="0011377B"/>
    <w:rsid w:val="00124B80"/>
    <w:rsid w:val="00133CF1"/>
    <w:rsid w:val="00141B44"/>
    <w:rsid w:val="00142E9F"/>
    <w:rsid w:val="00144209"/>
    <w:rsid w:val="00152275"/>
    <w:rsid w:val="001633E3"/>
    <w:rsid w:val="00165863"/>
    <w:rsid w:val="00165D0C"/>
    <w:rsid w:val="0017399F"/>
    <w:rsid w:val="001763CA"/>
    <w:rsid w:val="001847D7"/>
    <w:rsid w:val="00185948"/>
    <w:rsid w:val="001A6E02"/>
    <w:rsid w:val="001B23D2"/>
    <w:rsid w:val="001B3BD2"/>
    <w:rsid w:val="001C54F4"/>
    <w:rsid w:val="001D5395"/>
    <w:rsid w:val="001E73E3"/>
    <w:rsid w:val="001F001D"/>
    <w:rsid w:val="001F448E"/>
    <w:rsid w:val="001F496C"/>
    <w:rsid w:val="001F5BF2"/>
    <w:rsid w:val="001F7365"/>
    <w:rsid w:val="001F7CA9"/>
    <w:rsid w:val="00204087"/>
    <w:rsid w:val="0020557B"/>
    <w:rsid w:val="00216CFF"/>
    <w:rsid w:val="002215EF"/>
    <w:rsid w:val="002221D5"/>
    <w:rsid w:val="00224208"/>
    <w:rsid w:val="002258DF"/>
    <w:rsid w:val="002468D1"/>
    <w:rsid w:val="00256CC1"/>
    <w:rsid w:val="002649A4"/>
    <w:rsid w:val="0026508D"/>
    <w:rsid w:val="0027204B"/>
    <w:rsid w:val="00272306"/>
    <w:rsid w:val="00274F71"/>
    <w:rsid w:val="00287ED6"/>
    <w:rsid w:val="00293209"/>
    <w:rsid w:val="00294957"/>
    <w:rsid w:val="002A6FEA"/>
    <w:rsid w:val="002C28A1"/>
    <w:rsid w:val="002D46FA"/>
    <w:rsid w:val="002D791B"/>
    <w:rsid w:val="002E2219"/>
    <w:rsid w:val="002E35AF"/>
    <w:rsid w:val="002E3F8A"/>
    <w:rsid w:val="002E57DA"/>
    <w:rsid w:val="002F00A9"/>
    <w:rsid w:val="002F0FA4"/>
    <w:rsid w:val="002F14E4"/>
    <w:rsid w:val="00312ECF"/>
    <w:rsid w:val="00324D56"/>
    <w:rsid w:val="00325DD4"/>
    <w:rsid w:val="0033539B"/>
    <w:rsid w:val="00344B88"/>
    <w:rsid w:val="00345D31"/>
    <w:rsid w:val="00346254"/>
    <w:rsid w:val="003532B1"/>
    <w:rsid w:val="00353410"/>
    <w:rsid w:val="00355199"/>
    <w:rsid w:val="0035583F"/>
    <w:rsid w:val="00355D79"/>
    <w:rsid w:val="003614F3"/>
    <w:rsid w:val="00364C99"/>
    <w:rsid w:val="00367475"/>
    <w:rsid w:val="00371090"/>
    <w:rsid w:val="00371D6C"/>
    <w:rsid w:val="003745CD"/>
    <w:rsid w:val="00376D64"/>
    <w:rsid w:val="00380ED1"/>
    <w:rsid w:val="00381944"/>
    <w:rsid w:val="0038439A"/>
    <w:rsid w:val="003910D5"/>
    <w:rsid w:val="00394A43"/>
    <w:rsid w:val="003A3DC6"/>
    <w:rsid w:val="003A7959"/>
    <w:rsid w:val="003B41A5"/>
    <w:rsid w:val="003C0EEF"/>
    <w:rsid w:val="003D468B"/>
    <w:rsid w:val="003D567B"/>
    <w:rsid w:val="003D7AF3"/>
    <w:rsid w:val="003E2E3B"/>
    <w:rsid w:val="003F0AAB"/>
    <w:rsid w:val="003F2855"/>
    <w:rsid w:val="003F4217"/>
    <w:rsid w:val="00406550"/>
    <w:rsid w:val="00410B23"/>
    <w:rsid w:val="00424D45"/>
    <w:rsid w:val="00431BA7"/>
    <w:rsid w:val="00443B5A"/>
    <w:rsid w:val="00445291"/>
    <w:rsid w:val="00464551"/>
    <w:rsid w:val="004754A4"/>
    <w:rsid w:val="004910CC"/>
    <w:rsid w:val="004912E7"/>
    <w:rsid w:val="00492E78"/>
    <w:rsid w:val="00493E91"/>
    <w:rsid w:val="004952A3"/>
    <w:rsid w:val="00496294"/>
    <w:rsid w:val="004978C9"/>
    <w:rsid w:val="004B0738"/>
    <w:rsid w:val="004C209A"/>
    <w:rsid w:val="004D2FB4"/>
    <w:rsid w:val="004E1594"/>
    <w:rsid w:val="004E683D"/>
    <w:rsid w:val="00510041"/>
    <w:rsid w:val="00517A39"/>
    <w:rsid w:val="0052748D"/>
    <w:rsid w:val="00527B54"/>
    <w:rsid w:val="005302C4"/>
    <w:rsid w:val="005369E7"/>
    <w:rsid w:val="00545D17"/>
    <w:rsid w:val="00547672"/>
    <w:rsid w:val="0055281D"/>
    <w:rsid w:val="00554E4D"/>
    <w:rsid w:val="0056318F"/>
    <w:rsid w:val="0057269E"/>
    <w:rsid w:val="0057548F"/>
    <w:rsid w:val="0058390A"/>
    <w:rsid w:val="00583E76"/>
    <w:rsid w:val="00585270"/>
    <w:rsid w:val="00585ED1"/>
    <w:rsid w:val="0059463E"/>
    <w:rsid w:val="005A211B"/>
    <w:rsid w:val="005A2672"/>
    <w:rsid w:val="005A357B"/>
    <w:rsid w:val="005A67F9"/>
    <w:rsid w:val="005B17F8"/>
    <w:rsid w:val="005B1A82"/>
    <w:rsid w:val="005C05CF"/>
    <w:rsid w:val="005D0509"/>
    <w:rsid w:val="005D58B0"/>
    <w:rsid w:val="005E2B61"/>
    <w:rsid w:val="005E30C9"/>
    <w:rsid w:val="005E535A"/>
    <w:rsid w:val="006029F3"/>
    <w:rsid w:val="00604CCF"/>
    <w:rsid w:val="00623253"/>
    <w:rsid w:val="00650FCA"/>
    <w:rsid w:val="006512F8"/>
    <w:rsid w:val="006635C7"/>
    <w:rsid w:val="0067262D"/>
    <w:rsid w:val="00675C05"/>
    <w:rsid w:val="00693770"/>
    <w:rsid w:val="00694D1B"/>
    <w:rsid w:val="006C0B1D"/>
    <w:rsid w:val="006C42C4"/>
    <w:rsid w:val="006E5C02"/>
    <w:rsid w:val="006F3141"/>
    <w:rsid w:val="006F3EEF"/>
    <w:rsid w:val="006F5E22"/>
    <w:rsid w:val="006F64D6"/>
    <w:rsid w:val="00702085"/>
    <w:rsid w:val="00704E89"/>
    <w:rsid w:val="00710381"/>
    <w:rsid w:val="007127B0"/>
    <w:rsid w:val="00717743"/>
    <w:rsid w:val="00732F7D"/>
    <w:rsid w:val="007461FB"/>
    <w:rsid w:val="007465D7"/>
    <w:rsid w:val="0075599E"/>
    <w:rsid w:val="00756DE6"/>
    <w:rsid w:val="00760A3D"/>
    <w:rsid w:val="00792EB2"/>
    <w:rsid w:val="00793FEF"/>
    <w:rsid w:val="0079560C"/>
    <w:rsid w:val="00796C2C"/>
    <w:rsid w:val="007A10D9"/>
    <w:rsid w:val="007A4449"/>
    <w:rsid w:val="007A4C24"/>
    <w:rsid w:val="007A6879"/>
    <w:rsid w:val="007B1BD3"/>
    <w:rsid w:val="007B5AD1"/>
    <w:rsid w:val="007C084F"/>
    <w:rsid w:val="007C2F84"/>
    <w:rsid w:val="007C3C9E"/>
    <w:rsid w:val="007D6E5F"/>
    <w:rsid w:val="007E30BB"/>
    <w:rsid w:val="007F42A0"/>
    <w:rsid w:val="007F67E1"/>
    <w:rsid w:val="0081410D"/>
    <w:rsid w:val="00814CBC"/>
    <w:rsid w:val="00824084"/>
    <w:rsid w:val="008377A1"/>
    <w:rsid w:val="008452F0"/>
    <w:rsid w:val="00873CF4"/>
    <w:rsid w:val="008905CD"/>
    <w:rsid w:val="00896D0C"/>
    <w:rsid w:val="008978E1"/>
    <w:rsid w:val="008B2507"/>
    <w:rsid w:val="008B417C"/>
    <w:rsid w:val="008C571E"/>
    <w:rsid w:val="008F099A"/>
    <w:rsid w:val="008F4CC9"/>
    <w:rsid w:val="008F6F5E"/>
    <w:rsid w:val="008F7546"/>
    <w:rsid w:val="0090521F"/>
    <w:rsid w:val="0091007F"/>
    <w:rsid w:val="009128DC"/>
    <w:rsid w:val="00915114"/>
    <w:rsid w:val="00916B56"/>
    <w:rsid w:val="00916B63"/>
    <w:rsid w:val="0092201E"/>
    <w:rsid w:val="009340BF"/>
    <w:rsid w:val="00944BAD"/>
    <w:rsid w:val="00944DCA"/>
    <w:rsid w:val="00965056"/>
    <w:rsid w:val="009669A2"/>
    <w:rsid w:val="00970BA5"/>
    <w:rsid w:val="00975CA9"/>
    <w:rsid w:val="00983E80"/>
    <w:rsid w:val="00984E49"/>
    <w:rsid w:val="00986A1A"/>
    <w:rsid w:val="0099271D"/>
    <w:rsid w:val="00997C06"/>
    <w:rsid w:val="009A2E49"/>
    <w:rsid w:val="009A4039"/>
    <w:rsid w:val="009A7ECD"/>
    <w:rsid w:val="009B5278"/>
    <w:rsid w:val="009C372A"/>
    <w:rsid w:val="009C7C96"/>
    <w:rsid w:val="009E3BA6"/>
    <w:rsid w:val="009F07BB"/>
    <w:rsid w:val="009F1EA8"/>
    <w:rsid w:val="009F59A9"/>
    <w:rsid w:val="00A04AB2"/>
    <w:rsid w:val="00A129D4"/>
    <w:rsid w:val="00A13BAF"/>
    <w:rsid w:val="00A25410"/>
    <w:rsid w:val="00A4664E"/>
    <w:rsid w:val="00A62259"/>
    <w:rsid w:val="00A62A32"/>
    <w:rsid w:val="00A66F2E"/>
    <w:rsid w:val="00A7575F"/>
    <w:rsid w:val="00A80E69"/>
    <w:rsid w:val="00A9379A"/>
    <w:rsid w:val="00A96077"/>
    <w:rsid w:val="00A97744"/>
    <w:rsid w:val="00A97AFE"/>
    <w:rsid w:val="00AA1F00"/>
    <w:rsid w:val="00AA27EA"/>
    <w:rsid w:val="00AA403F"/>
    <w:rsid w:val="00AB4CDB"/>
    <w:rsid w:val="00AB4D33"/>
    <w:rsid w:val="00AB710A"/>
    <w:rsid w:val="00AB7BC5"/>
    <w:rsid w:val="00AC0141"/>
    <w:rsid w:val="00AC06FA"/>
    <w:rsid w:val="00AC10C0"/>
    <w:rsid w:val="00AC10C3"/>
    <w:rsid w:val="00AC126D"/>
    <w:rsid w:val="00AC7B60"/>
    <w:rsid w:val="00AD23F2"/>
    <w:rsid w:val="00AD2A2F"/>
    <w:rsid w:val="00AD5E13"/>
    <w:rsid w:val="00AF7F8E"/>
    <w:rsid w:val="00B010C0"/>
    <w:rsid w:val="00B10002"/>
    <w:rsid w:val="00B108E1"/>
    <w:rsid w:val="00B1235C"/>
    <w:rsid w:val="00B15B23"/>
    <w:rsid w:val="00B1750A"/>
    <w:rsid w:val="00B2239E"/>
    <w:rsid w:val="00B3531F"/>
    <w:rsid w:val="00B4220E"/>
    <w:rsid w:val="00B43690"/>
    <w:rsid w:val="00B47619"/>
    <w:rsid w:val="00B52935"/>
    <w:rsid w:val="00B52998"/>
    <w:rsid w:val="00B5705B"/>
    <w:rsid w:val="00B664DF"/>
    <w:rsid w:val="00B74F1A"/>
    <w:rsid w:val="00B74FC3"/>
    <w:rsid w:val="00B75ABD"/>
    <w:rsid w:val="00B85427"/>
    <w:rsid w:val="00B93590"/>
    <w:rsid w:val="00B93B3D"/>
    <w:rsid w:val="00B95247"/>
    <w:rsid w:val="00BA4B41"/>
    <w:rsid w:val="00BB1FCE"/>
    <w:rsid w:val="00BB2AB2"/>
    <w:rsid w:val="00BB4259"/>
    <w:rsid w:val="00BC07BA"/>
    <w:rsid w:val="00BD3B83"/>
    <w:rsid w:val="00BD61BA"/>
    <w:rsid w:val="00BE5F21"/>
    <w:rsid w:val="00BF4C69"/>
    <w:rsid w:val="00C016A5"/>
    <w:rsid w:val="00C03552"/>
    <w:rsid w:val="00C035CF"/>
    <w:rsid w:val="00C05BAF"/>
    <w:rsid w:val="00C1345F"/>
    <w:rsid w:val="00C141D1"/>
    <w:rsid w:val="00C15A60"/>
    <w:rsid w:val="00C15B95"/>
    <w:rsid w:val="00C201C3"/>
    <w:rsid w:val="00C23F3E"/>
    <w:rsid w:val="00C32B1C"/>
    <w:rsid w:val="00C3609E"/>
    <w:rsid w:val="00C37F0A"/>
    <w:rsid w:val="00C413D7"/>
    <w:rsid w:val="00C4251C"/>
    <w:rsid w:val="00C43E46"/>
    <w:rsid w:val="00C514A4"/>
    <w:rsid w:val="00C523DD"/>
    <w:rsid w:val="00C56A9F"/>
    <w:rsid w:val="00C71F87"/>
    <w:rsid w:val="00C83D96"/>
    <w:rsid w:val="00C87A22"/>
    <w:rsid w:val="00C96586"/>
    <w:rsid w:val="00CA28E7"/>
    <w:rsid w:val="00CA4C92"/>
    <w:rsid w:val="00CB1A08"/>
    <w:rsid w:val="00CC71BF"/>
    <w:rsid w:val="00CD40AB"/>
    <w:rsid w:val="00CD4922"/>
    <w:rsid w:val="00CE347C"/>
    <w:rsid w:val="00CF2FDB"/>
    <w:rsid w:val="00CF3D05"/>
    <w:rsid w:val="00D038ED"/>
    <w:rsid w:val="00D06890"/>
    <w:rsid w:val="00D06C9B"/>
    <w:rsid w:val="00D15983"/>
    <w:rsid w:val="00D266A3"/>
    <w:rsid w:val="00D27915"/>
    <w:rsid w:val="00D30BA4"/>
    <w:rsid w:val="00D37112"/>
    <w:rsid w:val="00D52FF6"/>
    <w:rsid w:val="00D53226"/>
    <w:rsid w:val="00D72C06"/>
    <w:rsid w:val="00D74CDB"/>
    <w:rsid w:val="00D7637A"/>
    <w:rsid w:val="00D816DD"/>
    <w:rsid w:val="00DA1E8E"/>
    <w:rsid w:val="00DC170F"/>
    <w:rsid w:val="00DC553B"/>
    <w:rsid w:val="00DC6F7E"/>
    <w:rsid w:val="00DD7339"/>
    <w:rsid w:val="00E03566"/>
    <w:rsid w:val="00E10B58"/>
    <w:rsid w:val="00E1555C"/>
    <w:rsid w:val="00E249F1"/>
    <w:rsid w:val="00E33635"/>
    <w:rsid w:val="00E36C4D"/>
    <w:rsid w:val="00E57297"/>
    <w:rsid w:val="00E6056C"/>
    <w:rsid w:val="00E62B14"/>
    <w:rsid w:val="00E63A80"/>
    <w:rsid w:val="00E7686E"/>
    <w:rsid w:val="00E83265"/>
    <w:rsid w:val="00E87676"/>
    <w:rsid w:val="00EA3064"/>
    <w:rsid w:val="00EA6A1B"/>
    <w:rsid w:val="00EB2ED6"/>
    <w:rsid w:val="00EB59AA"/>
    <w:rsid w:val="00EC0EAF"/>
    <w:rsid w:val="00EC140C"/>
    <w:rsid w:val="00EC6BFA"/>
    <w:rsid w:val="00ED2C74"/>
    <w:rsid w:val="00EE067D"/>
    <w:rsid w:val="00F07645"/>
    <w:rsid w:val="00F1294F"/>
    <w:rsid w:val="00F22933"/>
    <w:rsid w:val="00F24690"/>
    <w:rsid w:val="00F25706"/>
    <w:rsid w:val="00F3679B"/>
    <w:rsid w:val="00F40BC5"/>
    <w:rsid w:val="00F5320F"/>
    <w:rsid w:val="00F53991"/>
    <w:rsid w:val="00F711EB"/>
    <w:rsid w:val="00F8249A"/>
    <w:rsid w:val="00F91D58"/>
    <w:rsid w:val="00F92CF2"/>
    <w:rsid w:val="00F966F1"/>
    <w:rsid w:val="00FA00DC"/>
    <w:rsid w:val="00FA52B1"/>
    <w:rsid w:val="00FA54E6"/>
    <w:rsid w:val="00FA607F"/>
    <w:rsid w:val="00FB4F92"/>
    <w:rsid w:val="00FB6A89"/>
    <w:rsid w:val="00FC265B"/>
    <w:rsid w:val="00FC60B4"/>
    <w:rsid w:val="00FD02C7"/>
    <w:rsid w:val="00FD0F1A"/>
    <w:rsid w:val="00FD58D8"/>
    <w:rsid w:val="00FD5E4B"/>
    <w:rsid w:val="00FD62A6"/>
    <w:rsid w:val="00FE17FC"/>
    <w:rsid w:val="00FE4263"/>
    <w:rsid w:val="00FF58E4"/>
    <w:rsid w:val="00FF5E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BDA90A"/>
  <w15:chartTrackingRefBased/>
  <w15:docId w15:val="{AC6C490C-9B1C-4906-9CC7-264A869C4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170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15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15114"/>
    <w:pPr>
      <w:pBdr>
        <w:bottom w:val="single" w:sz="6" w:space="1" w:color="auto"/>
      </w:pBdr>
      <w:tabs>
        <w:tab w:val="center" w:pos="4153"/>
        <w:tab w:val="right" w:pos="8306"/>
      </w:tabs>
      <w:snapToGrid w:val="0"/>
      <w:jc w:val="center"/>
    </w:pPr>
    <w:rPr>
      <w:sz w:val="18"/>
      <w:szCs w:val="18"/>
      <w:lang w:val="en"/>
    </w:rPr>
  </w:style>
  <w:style w:type="character" w:customStyle="1" w:styleId="a5">
    <w:name w:val="页眉 字符"/>
    <w:basedOn w:val="a0"/>
    <w:link w:val="a4"/>
    <w:uiPriority w:val="99"/>
    <w:rsid w:val="00915114"/>
    <w:rPr>
      <w:sz w:val="18"/>
      <w:szCs w:val="18"/>
      <w:lang w:val="en"/>
    </w:rPr>
  </w:style>
  <w:style w:type="table" w:customStyle="1" w:styleId="g1">
    <w:name w:val="g1"/>
    <w:uiPriority w:val="99"/>
    <w:semiHidden/>
    <w:unhideWhenUsed/>
    <w:rsid w:val="00915114"/>
    <w:rPr>
      <w:rFonts w:ascii="Calibri" w:eastAsia="宋体" w:hAnsi="Calibri" w:cs="Times New Roman"/>
      <w:kern w:val="0"/>
      <w:sz w:val="20"/>
      <w:szCs w:val="20"/>
      <w:lang w:val="en"/>
    </w:rPr>
    <w:tblPr>
      <w:tblInd w:w="0" w:type="dxa"/>
      <w:tblCellMar>
        <w:top w:w="0" w:type="dxa"/>
        <w:left w:w="108" w:type="dxa"/>
        <w:bottom w:w="0" w:type="dxa"/>
        <w:right w:w="108" w:type="dxa"/>
      </w:tblCellMar>
    </w:tblPr>
  </w:style>
  <w:style w:type="table" w:customStyle="1" w:styleId="1">
    <w:name w:val="网格型1"/>
    <w:basedOn w:val="a1"/>
    <w:next w:val="a3"/>
    <w:uiPriority w:val="59"/>
    <w:rsid w:val="00915114"/>
    <w:pPr>
      <w:widowControl w:val="0"/>
      <w:jc w:val="both"/>
    </w:pPr>
    <w:rPr>
      <w:rFonts w:ascii="Times New Roman" w:eastAsia="宋体" w:hAnsi="Times New Roman" w:cs="Times New Roman"/>
      <w:kern w:val="0"/>
      <w:sz w:val="20"/>
      <w:szCs w:val="20"/>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915114"/>
    <w:rPr>
      <w:sz w:val="18"/>
      <w:szCs w:val="18"/>
    </w:rPr>
  </w:style>
  <w:style w:type="character" w:customStyle="1" w:styleId="a7">
    <w:name w:val="批注框文本 字符"/>
    <w:basedOn w:val="a0"/>
    <w:link w:val="a6"/>
    <w:uiPriority w:val="99"/>
    <w:semiHidden/>
    <w:rsid w:val="00915114"/>
    <w:rPr>
      <w:sz w:val="18"/>
      <w:szCs w:val="18"/>
    </w:rPr>
  </w:style>
  <w:style w:type="paragraph" w:styleId="a8">
    <w:name w:val="List Paragraph"/>
    <w:basedOn w:val="a"/>
    <w:uiPriority w:val="34"/>
    <w:qFormat/>
    <w:rsid w:val="00141B44"/>
    <w:pPr>
      <w:ind w:firstLineChars="200" w:firstLine="420"/>
    </w:pPr>
  </w:style>
  <w:style w:type="paragraph" w:styleId="a9">
    <w:name w:val="footer"/>
    <w:basedOn w:val="a"/>
    <w:link w:val="aa"/>
    <w:uiPriority w:val="99"/>
    <w:unhideWhenUsed/>
    <w:rsid w:val="00A62A32"/>
    <w:pPr>
      <w:tabs>
        <w:tab w:val="center" w:pos="4153"/>
        <w:tab w:val="right" w:pos="8306"/>
      </w:tabs>
      <w:snapToGrid w:val="0"/>
      <w:jc w:val="left"/>
    </w:pPr>
    <w:rPr>
      <w:sz w:val="18"/>
      <w:szCs w:val="18"/>
    </w:rPr>
  </w:style>
  <w:style w:type="character" w:customStyle="1" w:styleId="aa">
    <w:name w:val="页脚 字符"/>
    <w:basedOn w:val="a0"/>
    <w:link w:val="a9"/>
    <w:uiPriority w:val="99"/>
    <w:rsid w:val="00A62A32"/>
    <w:rPr>
      <w:sz w:val="18"/>
      <w:szCs w:val="18"/>
    </w:rPr>
  </w:style>
  <w:style w:type="paragraph" w:styleId="ab">
    <w:name w:val="Normal (Web)"/>
    <w:basedOn w:val="a"/>
    <w:uiPriority w:val="99"/>
    <w:semiHidden/>
    <w:unhideWhenUsed/>
    <w:rsid w:val="00C3609E"/>
    <w:rPr>
      <w:rFonts w:ascii="Times New Roman" w:hAnsi="Times New Roman" w:cs="Times New Roman"/>
      <w:sz w:val="24"/>
      <w:szCs w:val="24"/>
    </w:rPr>
  </w:style>
  <w:style w:type="paragraph" w:styleId="ac">
    <w:name w:val="Revision"/>
    <w:hidden/>
    <w:uiPriority w:val="99"/>
    <w:semiHidden/>
    <w:rsid w:val="000771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46951">
      <w:bodyDiv w:val="1"/>
      <w:marLeft w:val="0"/>
      <w:marRight w:val="0"/>
      <w:marTop w:val="0"/>
      <w:marBottom w:val="0"/>
      <w:divBdr>
        <w:top w:val="none" w:sz="0" w:space="0" w:color="auto"/>
        <w:left w:val="none" w:sz="0" w:space="0" w:color="auto"/>
        <w:bottom w:val="none" w:sz="0" w:space="0" w:color="auto"/>
        <w:right w:val="none" w:sz="0" w:space="0" w:color="auto"/>
      </w:divBdr>
    </w:div>
    <w:div w:id="103968538">
      <w:bodyDiv w:val="1"/>
      <w:marLeft w:val="0"/>
      <w:marRight w:val="0"/>
      <w:marTop w:val="0"/>
      <w:marBottom w:val="0"/>
      <w:divBdr>
        <w:top w:val="none" w:sz="0" w:space="0" w:color="auto"/>
        <w:left w:val="none" w:sz="0" w:space="0" w:color="auto"/>
        <w:bottom w:val="none" w:sz="0" w:space="0" w:color="auto"/>
        <w:right w:val="none" w:sz="0" w:space="0" w:color="auto"/>
      </w:divBdr>
    </w:div>
    <w:div w:id="188685715">
      <w:bodyDiv w:val="1"/>
      <w:marLeft w:val="0"/>
      <w:marRight w:val="0"/>
      <w:marTop w:val="0"/>
      <w:marBottom w:val="0"/>
      <w:divBdr>
        <w:top w:val="none" w:sz="0" w:space="0" w:color="auto"/>
        <w:left w:val="none" w:sz="0" w:space="0" w:color="auto"/>
        <w:bottom w:val="none" w:sz="0" w:space="0" w:color="auto"/>
        <w:right w:val="none" w:sz="0" w:space="0" w:color="auto"/>
      </w:divBdr>
    </w:div>
    <w:div w:id="262996336">
      <w:bodyDiv w:val="1"/>
      <w:marLeft w:val="0"/>
      <w:marRight w:val="0"/>
      <w:marTop w:val="0"/>
      <w:marBottom w:val="0"/>
      <w:divBdr>
        <w:top w:val="none" w:sz="0" w:space="0" w:color="auto"/>
        <w:left w:val="none" w:sz="0" w:space="0" w:color="auto"/>
        <w:bottom w:val="none" w:sz="0" w:space="0" w:color="auto"/>
        <w:right w:val="none" w:sz="0" w:space="0" w:color="auto"/>
      </w:divBdr>
      <w:divsChild>
        <w:div w:id="106853364">
          <w:marLeft w:val="0"/>
          <w:marRight w:val="0"/>
          <w:marTop w:val="0"/>
          <w:marBottom w:val="0"/>
          <w:divBdr>
            <w:top w:val="single" w:sz="2" w:space="0" w:color="E3E3E3"/>
            <w:left w:val="single" w:sz="2" w:space="0" w:color="E3E3E3"/>
            <w:bottom w:val="single" w:sz="2" w:space="0" w:color="E3E3E3"/>
            <w:right w:val="single" w:sz="2" w:space="0" w:color="E3E3E3"/>
          </w:divBdr>
          <w:divsChild>
            <w:div w:id="1098864583">
              <w:marLeft w:val="0"/>
              <w:marRight w:val="0"/>
              <w:marTop w:val="0"/>
              <w:marBottom w:val="0"/>
              <w:divBdr>
                <w:top w:val="single" w:sz="2" w:space="0" w:color="E3E3E3"/>
                <w:left w:val="single" w:sz="2" w:space="0" w:color="E3E3E3"/>
                <w:bottom w:val="single" w:sz="2" w:space="0" w:color="E3E3E3"/>
                <w:right w:val="single" w:sz="2" w:space="0" w:color="E3E3E3"/>
              </w:divBdr>
              <w:divsChild>
                <w:div w:id="1857111340">
                  <w:marLeft w:val="0"/>
                  <w:marRight w:val="0"/>
                  <w:marTop w:val="0"/>
                  <w:marBottom w:val="0"/>
                  <w:divBdr>
                    <w:top w:val="single" w:sz="2" w:space="0" w:color="E3E3E3"/>
                    <w:left w:val="single" w:sz="2" w:space="0" w:color="E3E3E3"/>
                    <w:bottom w:val="single" w:sz="2" w:space="0" w:color="E3E3E3"/>
                    <w:right w:val="single" w:sz="2" w:space="0" w:color="E3E3E3"/>
                  </w:divBdr>
                  <w:divsChild>
                    <w:div w:id="22098417">
                      <w:marLeft w:val="0"/>
                      <w:marRight w:val="0"/>
                      <w:marTop w:val="0"/>
                      <w:marBottom w:val="0"/>
                      <w:divBdr>
                        <w:top w:val="single" w:sz="2" w:space="0" w:color="E3E3E3"/>
                        <w:left w:val="single" w:sz="2" w:space="0" w:color="E3E3E3"/>
                        <w:bottom w:val="single" w:sz="2" w:space="0" w:color="E3E3E3"/>
                        <w:right w:val="single" w:sz="2" w:space="0" w:color="E3E3E3"/>
                      </w:divBdr>
                      <w:divsChild>
                        <w:div w:id="1626815128">
                          <w:marLeft w:val="0"/>
                          <w:marRight w:val="0"/>
                          <w:marTop w:val="0"/>
                          <w:marBottom w:val="0"/>
                          <w:divBdr>
                            <w:top w:val="single" w:sz="2" w:space="0" w:color="E3E3E3"/>
                            <w:left w:val="single" w:sz="2" w:space="0" w:color="E3E3E3"/>
                            <w:bottom w:val="single" w:sz="2" w:space="0" w:color="E3E3E3"/>
                            <w:right w:val="single" w:sz="2" w:space="0" w:color="E3E3E3"/>
                          </w:divBdr>
                          <w:divsChild>
                            <w:div w:id="304893923">
                              <w:marLeft w:val="0"/>
                              <w:marRight w:val="0"/>
                              <w:marTop w:val="0"/>
                              <w:marBottom w:val="0"/>
                              <w:divBdr>
                                <w:top w:val="single" w:sz="2" w:space="0" w:color="E3E3E3"/>
                                <w:left w:val="single" w:sz="2" w:space="0" w:color="E3E3E3"/>
                                <w:bottom w:val="single" w:sz="2" w:space="0" w:color="E3E3E3"/>
                                <w:right w:val="single" w:sz="2" w:space="0" w:color="E3E3E3"/>
                              </w:divBdr>
                              <w:divsChild>
                                <w:div w:id="1886483431">
                                  <w:marLeft w:val="0"/>
                                  <w:marRight w:val="0"/>
                                  <w:marTop w:val="100"/>
                                  <w:marBottom w:val="100"/>
                                  <w:divBdr>
                                    <w:top w:val="single" w:sz="2" w:space="0" w:color="E3E3E3"/>
                                    <w:left w:val="single" w:sz="2" w:space="0" w:color="E3E3E3"/>
                                    <w:bottom w:val="single" w:sz="2" w:space="0" w:color="E3E3E3"/>
                                    <w:right w:val="single" w:sz="2" w:space="0" w:color="E3E3E3"/>
                                  </w:divBdr>
                                  <w:divsChild>
                                    <w:div w:id="78714714">
                                      <w:marLeft w:val="0"/>
                                      <w:marRight w:val="0"/>
                                      <w:marTop w:val="0"/>
                                      <w:marBottom w:val="0"/>
                                      <w:divBdr>
                                        <w:top w:val="single" w:sz="2" w:space="0" w:color="E3E3E3"/>
                                        <w:left w:val="single" w:sz="2" w:space="0" w:color="E3E3E3"/>
                                        <w:bottom w:val="single" w:sz="2" w:space="0" w:color="E3E3E3"/>
                                        <w:right w:val="single" w:sz="2" w:space="0" w:color="E3E3E3"/>
                                      </w:divBdr>
                                      <w:divsChild>
                                        <w:div w:id="1394309916">
                                          <w:marLeft w:val="0"/>
                                          <w:marRight w:val="0"/>
                                          <w:marTop w:val="0"/>
                                          <w:marBottom w:val="0"/>
                                          <w:divBdr>
                                            <w:top w:val="single" w:sz="2" w:space="0" w:color="E3E3E3"/>
                                            <w:left w:val="single" w:sz="2" w:space="0" w:color="E3E3E3"/>
                                            <w:bottom w:val="single" w:sz="2" w:space="0" w:color="E3E3E3"/>
                                            <w:right w:val="single" w:sz="2" w:space="0" w:color="E3E3E3"/>
                                          </w:divBdr>
                                          <w:divsChild>
                                            <w:div w:id="991182217">
                                              <w:marLeft w:val="0"/>
                                              <w:marRight w:val="0"/>
                                              <w:marTop w:val="0"/>
                                              <w:marBottom w:val="0"/>
                                              <w:divBdr>
                                                <w:top w:val="single" w:sz="2" w:space="0" w:color="E3E3E3"/>
                                                <w:left w:val="single" w:sz="2" w:space="0" w:color="E3E3E3"/>
                                                <w:bottom w:val="single" w:sz="2" w:space="0" w:color="E3E3E3"/>
                                                <w:right w:val="single" w:sz="2" w:space="0" w:color="E3E3E3"/>
                                              </w:divBdr>
                                              <w:divsChild>
                                                <w:div w:id="349532480">
                                                  <w:marLeft w:val="0"/>
                                                  <w:marRight w:val="0"/>
                                                  <w:marTop w:val="0"/>
                                                  <w:marBottom w:val="0"/>
                                                  <w:divBdr>
                                                    <w:top w:val="single" w:sz="2" w:space="0" w:color="E3E3E3"/>
                                                    <w:left w:val="single" w:sz="2" w:space="0" w:color="E3E3E3"/>
                                                    <w:bottom w:val="single" w:sz="2" w:space="0" w:color="E3E3E3"/>
                                                    <w:right w:val="single" w:sz="2" w:space="0" w:color="E3E3E3"/>
                                                  </w:divBdr>
                                                  <w:divsChild>
                                                    <w:div w:id="44452549">
                                                      <w:marLeft w:val="0"/>
                                                      <w:marRight w:val="0"/>
                                                      <w:marTop w:val="0"/>
                                                      <w:marBottom w:val="0"/>
                                                      <w:divBdr>
                                                        <w:top w:val="single" w:sz="2" w:space="0" w:color="E3E3E3"/>
                                                        <w:left w:val="single" w:sz="2" w:space="0" w:color="E3E3E3"/>
                                                        <w:bottom w:val="single" w:sz="2" w:space="0" w:color="E3E3E3"/>
                                                        <w:right w:val="single" w:sz="2" w:space="0" w:color="E3E3E3"/>
                                                      </w:divBdr>
                                                      <w:divsChild>
                                                        <w:div w:id="125339547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029835193">
          <w:marLeft w:val="0"/>
          <w:marRight w:val="0"/>
          <w:marTop w:val="0"/>
          <w:marBottom w:val="0"/>
          <w:divBdr>
            <w:top w:val="none" w:sz="0" w:space="0" w:color="auto"/>
            <w:left w:val="none" w:sz="0" w:space="0" w:color="auto"/>
            <w:bottom w:val="none" w:sz="0" w:space="0" w:color="auto"/>
            <w:right w:val="none" w:sz="0" w:space="0" w:color="auto"/>
          </w:divBdr>
        </w:div>
      </w:divsChild>
    </w:div>
    <w:div w:id="607271943">
      <w:bodyDiv w:val="1"/>
      <w:marLeft w:val="0"/>
      <w:marRight w:val="0"/>
      <w:marTop w:val="0"/>
      <w:marBottom w:val="0"/>
      <w:divBdr>
        <w:top w:val="none" w:sz="0" w:space="0" w:color="auto"/>
        <w:left w:val="none" w:sz="0" w:space="0" w:color="auto"/>
        <w:bottom w:val="none" w:sz="0" w:space="0" w:color="auto"/>
        <w:right w:val="none" w:sz="0" w:space="0" w:color="auto"/>
      </w:divBdr>
    </w:div>
    <w:div w:id="659037224">
      <w:bodyDiv w:val="1"/>
      <w:marLeft w:val="0"/>
      <w:marRight w:val="0"/>
      <w:marTop w:val="0"/>
      <w:marBottom w:val="0"/>
      <w:divBdr>
        <w:top w:val="none" w:sz="0" w:space="0" w:color="auto"/>
        <w:left w:val="none" w:sz="0" w:space="0" w:color="auto"/>
        <w:bottom w:val="none" w:sz="0" w:space="0" w:color="auto"/>
        <w:right w:val="none" w:sz="0" w:space="0" w:color="auto"/>
      </w:divBdr>
      <w:divsChild>
        <w:div w:id="479226457">
          <w:marLeft w:val="0"/>
          <w:marRight w:val="0"/>
          <w:marTop w:val="0"/>
          <w:marBottom w:val="0"/>
          <w:divBdr>
            <w:top w:val="none" w:sz="0" w:space="0" w:color="auto"/>
            <w:left w:val="none" w:sz="0" w:space="0" w:color="auto"/>
            <w:bottom w:val="none" w:sz="0" w:space="0" w:color="auto"/>
            <w:right w:val="none" w:sz="0" w:space="0" w:color="auto"/>
          </w:divBdr>
        </w:div>
      </w:divsChild>
    </w:div>
    <w:div w:id="745224989">
      <w:bodyDiv w:val="1"/>
      <w:marLeft w:val="0"/>
      <w:marRight w:val="0"/>
      <w:marTop w:val="0"/>
      <w:marBottom w:val="0"/>
      <w:divBdr>
        <w:top w:val="none" w:sz="0" w:space="0" w:color="auto"/>
        <w:left w:val="none" w:sz="0" w:space="0" w:color="auto"/>
        <w:bottom w:val="none" w:sz="0" w:space="0" w:color="auto"/>
        <w:right w:val="none" w:sz="0" w:space="0" w:color="auto"/>
      </w:divBdr>
    </w:div>
    <w:div w:id="1190947376">
      <w:bodyDiv w:val="1"/>
      <w:marLeft w:val="0"/>
      <w:marRight w:val="0"/>
      <w:marTop w:val="0"/>
      <w:marBottom w:val="0"/>
      <w:divBdr>
        <w:top w:val="none" w:sz="0" w:space="0" w:color="auto"/>
        <w:left w:val="none" w:sz="0" w:space="0" w:color="auto"/>
        <w:bottom w:val="none" w:sz="0" w:space="0" w:color="auto"/>
        <w:right w:val="none" w:sz="0" w:space="0" w:color="auto"/>
      </w:divBdr>
    </w:div>
    <w:div w:id="1221748274">
      <w:bodyDiv w:val="1"/>
      <w:marLeft w:val="0"/>
      <w:marRight w:val="0"/>
      <w:marTop w:val="0"/>
      <w:marBottom w:val="0"/>
      <w:divBdr>
        <w:top w:val="none" w:sz="0" w:space="0" w:color="auto"/>
        <w:left w:val="none" w:sz="0" w:space="0" w:color="auto"/>
        <w:bottom w:val="none" w:sz="0" w:space="0" w:color="auto"/>
        <w:right w:val="none" w:sz="0" w:space="0" w:color="auto"/>
      </w:divBdr>
    </w:div>
    <w:div w:id="1233152191">
      <w:bodyDiv w:val="1"/>
      <w:marLeft w:val="0"/>
      <w:marRight w:val="0"/>
      <w:marTop w:val="0"/>
      <w:marBottom w:val="0"/>
      <w:divBdr>
        <w:top w:val="none" w:sz="0" w:space="0" w:color="auto"/>
        <w:left w:val="none" w:sz="0" w:space="0" w:color="auto"/>
        <w:bottom w:val="none" w:sz="0" w:space="0" w:color="auto"/>
        <w:right w:val="none" w:sz="0" w:space="0" w:color="auto"/>
      </w:divBdr>
    </w:div>
    <w:div w:id="1360742727">
      <w:bodyDiv w:val="1"/>
      <w:marLeft w:val="0"/>
      <w:marRight w:val="0"/>
      <w:marTop w:val="0"/>
      <w:marBottom w:val="0"/>
      <w:divBdr>
        <w:top w:val="none" w:sz="0" w:space="0" w:color="auto"/>
        <w:left w:val="none" w:sz="0" w:space="0" w:color="auto"/>
        <w:bottom w:val="none" w:sz="0" w:space="0" w:color="auto"/>
        <w:right w:val="none" w:sz="0" w:space="0" w:color="auto"/>
      </w:divBdr>
    </w:div>
    <w:div w:id="1478763804">
      <w:bodyDiv w:val="1"/>
      <w:marLeft w:val="0"/>
      <w:marRight w:val="0"/>
      <w:marTop w:val="0"/>
      <w:marBottom w:val="0"/>
      <w:divBdr>
        <w:top w:val="none" w:sz="0" w:space="0" w:color="auto"/>
        <w:left w:val="none" w:sz="0" w:space="0" w:color="auto"/>
        <w:bottom w:val="none" w:sz="0" w:space="0" w:color="auto"/>
        <w:right w:val="none" w:sz="0" w:space="0" w:color="auto"/>
      </w:divBdr>
    </w:div>
    <w:div w:id="1536229533">
      <w:bodyDiv w:val="1"/>
      <w:marLeft w:val="0"/>
      <w:marRight w:val="0"/>
      <w:marTop w:val="0"/>
      <w:marBottom w:val="0"/>
      <w:divBdr>
        <w:top w:val="none" w:sz="0" w:space="0" w:color="auto"/>
        <w:left w:val="none" w:sz="0" w:space="0" w:color="auto"/>
        <w:bottom w:val="none" w:sz="0" w:space="0" w:color="auto"/>
        <w:right w:val="none" w:sz="0" w:space="0" w:color="auto"/>
      </w:divBdr>
    </w:div>
    <w:div w:id="1698389779">
      <w:bodyDiv w:val="1"/>
      <w:marLeft w:val="0"/>
      <w:marRight w:val="0"/>
      <w:marTop w:val="0"/>
      <w:marBottom w:val="0"/>
      <w:divBdr>
        <w:top w:val="none" w:sz="0" w:space="0" w:color="auto"/>
        <w:left w:val="none" w:sz="0" w:space="0" w:color="auto"/>
        <w:bottom w:val="none" w:sz="0" w:space="0" w:color="auto"/>
        <w:right w:val="none" w:sz="0" w:space="0" w:color="auto"/>
      </w:divBdr>
    </w:div>
    <w:div w:id="1723867708">
      <w:bodyDiv w:val="1"/>
      <w:marLeft w:val="0"/>
      <w:marRight w:val="0"/>
      <w:marTop w:val="0"/>
      <w:marBottom w:val="0"/>
      <w:divBdr>
        <w:top w:val="none" w:sz="0" w:space="0" w:color="auto"/>
        <w:left w:val="none" w:sz="0" w:space="0" w:color="auto"/>
        <w:bottom w:val="none" w:sz="0" w:space="0" w:color="auto"/>
        <w:right w:val="none" w:sz="0" w:space="0" w:color="auto"/>
      </w:divBdr>
    </w:div>
    <w:div w:id="2084255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9DD17-24E1-4DB0-B1E7-ACA1D666C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9802</TotalTime>
  <Pages>14</Pages>
  <Words>3723</Words>
  <Characters>27313</Characters>
  <Application>Microsoft Office Word</Application>
  <DocSecurity>0</DocSecurity>
  <Lines>227</Lines>
  <Paragraphs>61</Paragraphs>
  <ScaleCrop>false</ScaleCrop>
  <Company/>
  <LinksUpToDate>false</LinksUpToDate>
  <CharactersWithSpaces>30975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余浩</dc:creator>
  <cp:keywords/>
  <dc:description/>
  <cp:lastModifiedBy>余浩</cp:lastModifiedBy>
  <cp:revision>136</cp:revision>
  <cp:lastPrinted>2025-05-15T08:10:00Z</cp:lastPrinted>
  <dcterms:created xsi:type="dcterms:W3CDTF">2024-04-23T02:47:00Z</dcterms:created>
  <dcterms:modified xsi:type="dcterms:W3CDTF">2026-08-31T09:34:00Z</dcterms:modified>
</cp:coreProperties>
</file>