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030E" w14:textId="77777777" w:rsidR="00915114" w:rsidRPr="00916B56" w:rsidRDefault="001F7CA9" w:rsidP="00915114">
      <w:pPr>
        <w:jc w:val="center"/>
        <w:rPr>
          <w:rFonts w:ascii="Times New Roman" w:hAnsi="Times New Roman" w:cs="Times New Roman"/>
          <w:b/>
          <w:szCs w:val="21"/>
          <w:lang w:val="en"/>
        </w:rPr>
      </w:pPr>
      <w:r w:rsidRPr="00916B56">
        <w:rPr>
          <w:rFonts w:ascii="Times New Roman" w:hAnsi="Times New Roman" w:cs="Times New Roman"/>
          <w:b/>
          <w:szCs w:val="21"/>
          <w:lang w:val="en"/>
        </w:rPr>
        <w:t xml:space="preserve"> </w:t>
      </w:r>
      <w:r w:rsidR="00915114" w:rsidRPr="00916B56">
        <w:rPr>
          <w:rFonts w:ascii="Times New Roman" w:hAnsi="Times New Roman" w:cs="Times New Roman"/>
          <w:b/>
          <w:szCs w:val="21"/>
          <w:lang w:val="en"/>
        </w:rPr>
        <w:t xml:space="preserve">Shanghai </w:t>
      </w:r>
      <w:proofErr w:type="spellStart"/>
      <w:r w:rsidR="00915114" w:rsidRPr="00916B56">
        <w:rPr>
          <w:rFonts w:ascii="Times New Roman" w:hAnsi="Times New Roman" w:cs="Times New Roman"/>
          <w:b/>
          <w:szCs w:val="21"/>
          <w:lang w:val="en"/>
        </w:rPr>
        <w:t>Putailai</w:t>
      </w:r>
      <w:proofErr w:type="spellEnd"/>
      <w:r w:rsidR="00915114" w:rsidRPr="00916B56">
        <w:rPr>
          <w:rFonts w:ascii="Times New Roman" w:hAnsi="Times New Roman" w:cs="Times New Roman"/>
          <w:b/>
          <w:szCs w:val="21"/>
          <w:lang w:val="en"/>
        </w:rPr>
        <w:t xml:space="preserve"> New Energy Technology </w:t>
      </w:r>
      <w:r w:rsidR="00E63A80" w:rsidRPr="00916B56">
        <w:rPr>
          <w:rFonts w:ascii="Times New Roman" w:hAnsi="Times New Roman" w:cs="Times New Roman"/>
          <w:b/>
          <w:szCs w:val="21"/>
          <w:lang w:val="en"/>
        </w:rPr>
        <w:t xml:space="preserve">Group </w:t>
      </w:r>
      <w:r w:rsidR="00915114" w:rsidRPr="00916B56">
        <w:rPr>
          <w:rFonts w:ascii="Times New Roman" w:hAnsi="Times New Roman" w:cs="Times New Roman"/>
          <w:b/>
          <w:szCs w:val="21"/>
          <w:lang w:val="en"/>
        </w:rPr>
        <w:t>Co., Ltd.</w:t>
      </w:r>
    </w:p>
    <w:p w14:paraId="3C27DE2B" w14:textId="77777777" w:rsidR="00915114" w:rsidRPr="00916B56" w:rsidRDefault="004E1594" w:rsidP="00915114">
      <w:pPr>
        <w:jc w:val="center"/>
        <w:rPr>
          <w:rFonts w:ascii="Times New Roman" w:hAnsi="Times New Roman" w:cs="Times New Roman"/>
          <w:b/>
          <w:szCs w:val="21"/>
          <w:lang w:val="en"/>
        </w:rPr>
      </w:pPr>
      <w:r w:rsidRPr="00916B56">
        <w:rPr>
          <w:rFonts w:ascii="Times New Roman" w:hAnsi="Times New Roman" w:cs="Times New Roman"/>
          <w:b/>
          <w:szCs w:val="21"/>
          <w:lang w:val="en"/>
        </w:rPr>
        <w:t>2025</w:t>
      </w:r>
      <w:r w:rsidR="00915114" w:rsidRPr="00916B56">
        <w:rPr>
          <w:rFonts w:ascii="Times New Roman" w:hAnsi="Times New Roman" w:cs="Times New Roman"/>
          <w:b/>
          <w:szCs w:val="21"/>
          <w:lang w:val="en"/>
        </w:rPr>
        <w:t xml:space="preserve"> Annual Report Summary</w:t>
      </w:r>
    </w:p>
    <w:p w14:paraId="6082E64B" w14:textId="77777777" w:rsidR="00915114" w:rsidRPr="00916B56" w:rsidRDefault="00915114" w:rsidP="00915114">
      <w:pPr>
        <w:keepNext/>
        <w:keepLines/>
        <w:numPr>
          <w:ilvl w:val="1"/>
          <w:numId w:val="1"/>
        </w:numPr>
        <w:spacing w:before="60" w:after="60"/>
        <w:ind w:left="498" w:hangingChars="236" w:hanging="498"/>
        <w:outlineLvl w:val="1"/>
        <w:rPr>
          <w:rFonts w:ascii="Times New Roman" w:eastAsia="宋体" w:hAnsi="Times New Roman" w:cs="Times New Roman"/>
          <w:b/>
          <w:bCs/>
          <w:szCs w:val="21"/>
          <w:u w:val="single"/>
          <w:lang w:val="en"/>
        </w:rPr>
      </w:pPr>
      <w:bookmarkStart w:id="0" w:name="_Toc342051041"/>
      <w:bookmarkStart w:id="1" w:name="_Toc342565881"/>
      <w:r w:rsidRPr="00916B56">
        <w:rPr>
          <w:rFonts w:ascii="Times New Roman" w:eastAsia="宋体" w:hAnsi="Times New Roman" w:cs="Times New Roman"/>
          <w:b/>
          <w:bCs/>
          <w:szCs w:val="21"/>
          <w:lang w:val="en"/>
        </w:rPr>
        <w:t>Company Information</w:t>
      </w:r>
      <w:bookmarkEnd w:id="0"/>
      <w:bookmarkEnd w:id="1"/>
      <w:r w:rsidRPr="00916B56">
        <w:rPr>
          <w:rFonts w:ascii="Times New Roman" w:eastAsia="宋体" w:hAnsi="Times New Roman" w:cs="Times New Roman"/>
          <w:b/>
          <w:bCs/>
          <w:szCs w:val="21"/>
          <w:lang w:val="en"/>
        </w:rPr>
        <w:t xml:space="preserve"> </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255"/>
        <w:gridCol w:w="5041"/>
      </w:tblGrid>
      <w:tr w:rsidR="00FD0F1A" w:rsidRPr="00916B56" w14:paraId="263774B2" w14:textId="77777777" w:rsidTr="0079560C">
        <w:trPr>
          <w:trHeight w:val="293"/>
        </w:trPr>
        <w:tc>
          <w:tcPr>
            <w:tcW w:w="1962" w:type="pct"/>
            <w:tcBorders>
              <w:top w:val="single" w:sz="4" w:space="0" w:color="auto"/>
              <w:bottom w:val="single" w:sz="4" w:space="0" w:color="auto"/>
              <w:right w:val="single" w:sz="4" w:space="0" w:color="auto"/>
            </w:tcBorders>
            <w:vAlign w:val="center"/>
          </w:tcPr>
          <w:p w14:paraId="18C9C0D0"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Name of </w:t>
            </w:r>
            <w:proofErr w:type="spellStart"/>
            <w:r w:rsidRPr="00916B56">
              <w:rPr>
                <w:rFonts w:ascii="Times New Roman" w:hAnsi="Times New Roman"/>
                <w:sz w:val="21"/>
                <w:szCs w:val="21"/>
              </w:rPr>
              <w:t>Putailai</w:t>
            </w:r>
            <w:proofErr w:type="spellEnd"/>
            <w:r w:rsidRPr="00916B56">
              <w:rPr>
                <w:rFonts w:ascii="Times New Roman" w:hAnsi="Times New Roman"/>
                <w:sz w:val="21"/>
                <w:szCs w:val="21"/>
              </w:rPr>
              <w:t xml:space="preserve"> in Chinese</w:t>
            </w:r>
          </w:p>
        </w:tc>
        <w:tc>
          <w:tcPr>
            <w:tcW w:w="3038" w:type="pct"/>
            <w:tcBorders>
              <w:top w:val="single" w:sz="4" w:space="0" w:color="auto"/>
              <w:left w:val="single" w:sz="4" w:space="0" w:color="auto"/>
              <w:bottom w:val="single" w:sz="4" w:space="0" w:color="auto"/>
            </w:tcBorders>
          </w:tcPr>
          <w:p w14:paraId="0EF69ED1" w14:textId="70AA32F4"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上海璞泰来新能源科技</w:t>
            </w:r>
            <w:r w:rsidR="00AA1F00" w:rsidRPr="00916B56">
              <w:rPr>
                <w:rFonts w:ascii="Times New Roman" w:hAnsi="Times New Roman" w:hint="eastAsia"/>
                <w:sz w:val="21"/>
                <w:szCs w:val="21"/>
              </w:rPr>
              <w:t>集团</w:t>
            </w:r>
            <w:r w:rsidRPr="00916B56">
              <w:rPr>
                <w:rFonts w:ascii="Times New Roman" w:hAnsi="Times New Roman"/>
                <w:sz w:val="21"/>
                <w:szCs w:val="21"/>
              </w:rPr>
              <w:t>股份有限公司</w:t>
            </w:r>
          </w:p>
        </w:tc>
      </w:tr>
      <w:tr w:rsidR="00FD0F1A" w:rsidRPr="00916B56" w14:paraId="5406A5C1" w14:textId="77777777" w:rsidTr="0079560C">
        <w:trPr>
          <w:trHeight w:val="293"/>
        </w:trPr>
        <w:tc>
          <w:tcPr>
            <w:tcW w:w="1962" w:type="pct"/>
            <w:tcBorders>
              <w:top w:val="single" w:sz="4" w:space="0" w:color="auto"/>
              <w:bottom w:val="single" w:sz="4" w:space="0" w:color="auto"/>
              <w:right w:val="single" w:sz="4" w:space="0" w:color="auto"/>
            </w:tcBorders>
            <w:vAlign w:val="center"/>
          </w:tcPr>
          <w:p w14:paraId="3884900E"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Abbr. of </w:t>
            </w:r>
            <w:proofErr w:type="spellStart"/>
            <w:r w:rsidRPr="00916B56">
              <w:rPr>
                <w:rFonts w:ascii="Times New Roman" w:hAnsi="Times New Roman"/>
                <w:sz w:val="21"/>
                <w:szCs w:val="21"/>
              </w:rPr>
              <w:t>Putailai</w:t>
            </w:r>
            <w:proofErr w:type="spellEnd"/>
            <w:r w:rsidRPr="00916B56">
              <w:rPr>
                <w:rFonts w:ascii="Times New Roman" w:hAnsi="Times New Roman"/>
                <w:sz w:val="21"/>
                <w:szCs w:val="21"/>
              </w:rPr>
              <w:t xml:space="preserve"> name in Chinese </w:t>
            </w:r>
          </w:p>
        </w:tc>
        <w:tc>
          <w:tcPr>
            <w:tcW w:w="3038" w:type="pct"/>
            <w:tcBorders>
              <w:top w:val="single" w:sz="4" w:space="0" w:color="auto"/>
              <w:left w:val="single" w:sz="4" w:space="0" w:color="auto"/>
              <w:bottom w:val="single" w:sz="4" w:space="0" w:color="auto"/>
            </w:tcBorders>
          </w:tcPr>
          <w:p w14:paraId="50973630"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proofErr w:type="gramStart"/>
            <w:r w:rsidRPr="00916B56">
              <w:rPr>
                <w:rFonts w:ascii="Times New Roman" w:hAnsi="Times New Roman"/>
                <w:sz w:val="21"/>
                <w:szCs w:val="21"/>
              </w:rPr>
              <w:t>璞</w:t>
            </w:r>
            <w:proofErr w:type="gramEnd"/>
            <w:r w:rsidRPr="00916B56">
              <w:rPr>
                <w:rFonts w:ascii="Times New Roman" w:hAnsi="Times New Roman"/>
                <w:sz w:val="21"/>
                <w:szCs w:val="21"/>
              </w:rPr>
              <w:t>泰来</w:t>
            </w:r>
          </w:p>
        </w:tc>
      </w:tr>
      <w:tr w:rsidR="00FD0F1A" w:rsidRPr="00916B56" w14:paraId="6D104874" w14:textId="77777777" w:rsidTr="0079560C">
        <w:trPr>
          <w:trHeight w:val="293"/>
        </w:trPr>
        <w:tc>
          <w:tcPr>
            <w:tcW w:w="1962" w:type="pct"/>
            <w:tcBorders>
              <w:top w:val="single" w:sz="4" w:space="0" w:color="auto"/>
              <w:bottom w:val="single" w:sz="4" w:space="0" w:color="auto"/>
              <w:right w:val="single" w:sz="4" w:space="0" w:color="auto"/>
            </w:tcBorders>
            <w:vAlign w:val="center"/>
          </w:tcPr>
          <w:p w14:paraId="1E11C08C"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Name of </w:t>
            </w:r>
            <w:proofErr w:type="spellStart"/>
            <w:r w:rsidRPr="00916B56">
              <w:rPr>
                <w:rFonts w:ascii="Times New Roman" w:hAnsi="Times New Roman"/>
                <w:sz w:val="21"/>
                <w:szCs w:val="21"/>
              </w:rPr>
              <w:t>Putailai</w:t>
            </w:r>
            <w:proofErr w:type="spellEnd"/>
            <w:r w:rsidRPr="00916B56">
              <w:rPr>
                <w:rFonts w:ascii="Times New Roman" w:hAnsi="Times New Roman"/>
                <w:sz w:val="21"/>
                <w:szCs w:val="21"/>
              </w:rPr>
              <w:t xml:space="preserve"> in English</w:t>
            </w:r>
          </w:p>
        </w:tc>
        <w:tc>
          <w:tcPr>
            <w:tcW w:w="3038" w:type="pct"/>
            <w:tcBorders>
              <w:top w:val="single" w:sz="4" w:space="0" w:color="auto"/>
              <w:left w:val="single" w:sz="4" w:space="0" w:color="auto"/>
              <w:bottom w:val="single" w:sz="4" w:space="0" w:color="auto"/>
            </w:tcBorders>
          </w:tcPr>
          <w:p w14:paraId="2A146FC3" w14:textId="54457799"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Shanghai </w:t>
            </w:r>
            <w:proofErr w:type="spellStart"/>
            <w:r w:rsidRPr="00916B56">
              <w:rPr>
                <w:rFonts w:ascii="Times New Roman" w:hAnsi="Times New Roman"/>
                <w:sz w:val="21"/>
                <w:szCs w:val="21"/>
              </w:rPr>
              <w:t>Putailai</w:t>
            </w:r>
            <w:proofErr w:type="spellEnd"/>
            <w:r w:rsidRPr="00916B56">
              <w:rPr>
                <w:rFonts w:ascii="Times New Roman" w:hAnsi="Times New Roman"/>
                <w:sz w:val="21"/>
                <w:szCs w:val="21"/>
              </w:rPr>
              <w:t xml:space="preserve"> New Energy Technology</w:t>
            </w:r>
            <w:r w:rsidR="00424D45" w:rsidRPr="00916B56">
              <w:rPr>
                <w:rFonts w:ascii="Times New Roman" w:hAnsi="Times New Roman"/>
                <w:b/>
                <w:szCs w:val="21"/>
              </w:rPr>
              <w:t xml:space="preserve"> </w:t>
            </w:r>
            <w:r w:rsidR="00424D45" w:rsidRPr="00916B56">
              <w:rPr>
                <w:rFonts w:ascii="Times New Roman" w:hAnsi="Times New Roman"/>
                <w:bCs/>
                <w:szCs w:val="21"/>
              </w:rPr>
              <w:t>Group</w:t>
            </w:r>
            <w:r w:rsidRPr="00916B56">
              <w:rPr>
                <w:rFonts w:ascii="Times New Roman" w:hAnsi="Times New Roman"/>
                <w:bCs/>
                <w:sz w:val="21"/>
                <w:szCs w:val="21"/>
              </w:rPr>
              <w:t xml:space="preserve"> </w:t>
            </w:r>
            <w:r w:rsidRPr="00916B56">
              <w:rPr>
                <w:rFonts w:ascii="Times New Roman" w:hAnsi="Times New Roman"/>
                <w:sz w:val="21"/>
                <w:szCs w:val="21"/>
              </w:rPr>
              <w:t>Co., Ltd.</w:t>
            </w:r>
          </w:p>
        </w:tc>
      </w:tr>
      <w:tr w:rsidR="00FD0F1A" w:rsidRPr="00916B56" w14:paraId="3716F8EC" w14:textId="77777777" w:rsidTr="0079560C">
        <w:trPr>
          <w:trHeight w:val="293"/>
        </w:trPr>
        <w:tc>
          <w:tcPr>
            <w:tcW w:w="1962" w:type="pct"/>
            <w:tcBorders>
              <w:top w:val="single" w:sz="4" w:space="0" w:color="auto"/>
              <w:bottom w:val="single" w:sz="4" w:space="0" w:color="auto"/>
              <w:right w:val="single" w:sz="4" w:space="0" w:color="auto"/>
            </w:tcBorders>
            <w:vAlign w:val="center"/>
          </w:tcPr>
          <w:p w14:paraId="24B88852"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Abbr. of </w:t>
            </w:r>
            <w:proofErr w:type="spellStart"/>
            <w:r w:rsidRPr="00916B56">
              <w:rPr>
                <w:rFonts w:ascii="Times New Roman" w:hAnsi="Times New Roman"/>
                <w:sz w:val="21"/>
                <w:szCs w:val="21"/>
              </w:rPr>
              <w:t>Putailai</w:t>
            </w:r>
            <w:proofErr w:type="spellEnd"/>
            <w:r w:rsidRPr="00916B56">
              <w:rPr>
                <w:rFonts w:ascii="Times New Roman" w:hAnsi="Times New Roman"/>
                <w:sz w:val="21"/>
                <w:szCs w:val="21"/>
              </w:rPr>
              <w:t xml:space="preserve"> name in English </w:t>
            </w:r>
          </w:p>
        </w:tc>
        <w:tc>
          <w:tcPr>
            <w:tcW w:w="3038" w:type="pct"/>
            <w:tcBorders>
              <w:top w:val="single" w:sz="4" w:space="0" w:color="auto"/>
              <w:left w:val="single" w:sz="4" w:space="0" w:color="auto"/>
              <w:bottom w:val="single" w:sz="4" w:space="0" w:color="auto"/>
            </w:tcBorders>
          </w:tcPr>
          <w:p w14:paraId="56528722" w14:textId="77777777" w:rsidR="00915114" w:rsidRPr="00916B56" w:rsidRDefault="00C05BAF"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PTL</w:t>
            </w:r>
          </w:p>
        </w:tc>
      </w:tr>
      <w:tr w:rsidR="00915114" w:rsidRPr="00916B56" w14:paraId="1ED39A00" w14:textId="77777777" w:rsidTr="0079560C">
        <w:trPr>
          <w:trHeight w:val="293"/>
        </w:trPr>
        <w:tc>
          <w:tcPr>
            <w:tcW w:w="1962" w:type="pct"/>
            <w:tcBorders>
              <w:top w:val="single" w:sz="4" w:space="0" w:color="auto"/>
              <w:bottom w:val="single" w:sz="4" w:space="0" w:color="auto"/>
              <w:right w:val="single" w:sz="4" w:space="0" w:color="auto"/>
            </w:tcBorders>
            <w:vAlign w:val="center"/>
          </w:tcPr>
          <w:p w14:paraId="075839D9"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Legal Representative</w:t>
            </w:r>
          </w:p>
        </w:tc>
        <w:tc>
          <w:tcPr>
            <w:tcW w:w="3038" w:type="pct"/>
            <w:tcBorders>
              <w:top w:val="single" w:sz="4" w:space="0" w:color="auto"/>
              <w:left w:val="single" w:sz="4" w:space="0" w:color="auto"/>
              <w:bottom w:val="single" w:sz="4" w:space="0" w:color="auto"/>
            </w:tcBorders>
          </w:tcPr>
          <w:p w14:paraId="5EAFF194"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Liang Feng</w:t>
            </w:r>
          </w:p>
        </w:tc>
      </w:tr>
    </w:tbl>
    <w:p w14:paraId="36C7C6AB" w14:textId="77777777" w:rsidR="00915114" w:rsidRPr="00916B56" w:rsidRDefault="00915114" w:rsidP="00915114">
      <w:pPr>
        <w:rPr>
          <w:rFonts w:ascii="Times New Roman" w:hAnsi="Times New Roman" w:cs="Times New Roman"/>
          <w:szCs w:val="21"/>
          <w:lang w:val="en"/>
        </w:rPr>
      </w:pPr>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988"/>
        <w:gridCol w:w="3543"/>
        <w:gridCol w:w="3765"/>
      </w:tblGrid>
      <w:tr w:rsidR="00FD0F1A" w:rsidRPr="00916B56" w14:paraId="017B2DC5" w14:textId="77777777" w:rsidTr="00A04AB2">
        <w:tc>
          <w:tcPr>
            <w:tcW w:w="595" w:type="pct"/>
            <w:tcBorders>
              <w:top w:val="single" w:sz="4" w:space="0" w:color="auto"/>
              <w:bottom w:val="single" w:sz="4" w:space="0" w:color="auto"/>
              <w:right w:val="single" w:sz="4" w:space="0" w:color="auto"/>
            </w:tcBorders>
          </w:tcPr>
          <w:p w14:paraId="291D71B4"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p>
        </w:tc>
        <w:tc>
          <w:tcPr>
            <w:tcW w:w="2135" w:type="pct"/>
            <w:tcBorders>
              <w:top w:val="single" w:sz="4" w:space="0" w:color="auto"/>
              <w:left w:val="single" w:sz="4" w:space="0" w:color="auto"/>
              <w:bottom w:val="single" w:sz="4" w:space="0" w:color="auto"/>
              <w:right w:val="single" w:sz="4" w:space="0" w:color="auto"/>
            </w:tcBorders>
          </w:tcPr>
          <w:p w14:paraId="699FC939" w14:textId="77777777" w:rsidR="00915114" w:rsidRPr="00916B56" w:rsidRDefault="00915114" w:rsidP="00915114">
            <w:pPr>
              <w:kinsoku w:val="0"/>
              <w:overflowPunct w:val="0"/>
              <w:autoSpaceDE w:val="0"/>
              <w:autoSpaceDN w:val="0"/>
              <w:adjustRightInd w:val="0"/>
              <w:snapToGrid w:val="0"/>
              <w:jc w:val="center"/>
              <w:rPr>
                <w:rFonts w:ascii="Times New Roman" w:hAnsi="Times New Roman"/>
                <w:sz w:val="21"/>
                <w:szCs w:val="21"/>
              </w:rPr>
            </w:pPr>
            <w:r w:rsidRPr="00916B56">
              <w:rPr>
                <w:rFonts w:ascii="Times New Roman" w:hAnsi="Times New Roman"/>
                <w:sz w:val="21"/>
                <w:szCs w:val="21"/>
              </w:rPr>
              <w:t>Secretary of the Board</w:t>
            </w:r>
          </w:p>
        </w:tc>
        <w:tc>
          <w:tcPr>
            <w:tcW w:w="2269" w:type="pct"/>
            <w:tcBorders>
              <w:top w:val="single" w:sz="4" w:space="0" w:color="auto"/>
              <w:left w:val="single" w:sz="4" w:space="0" w:color="auto"/>
              <w:bottom w:val="single" w:sz="4" w:space="0" w:color="auto"/>
            </w:tcBorders>
          </w:tcPr>
          <w:p w14:paraId="31F790CF" w14:textId="77777777" w:rsidR="00915114" w:rsidRPr="00916B56" w:rsidRDefault="00915114" w:rsidP="00915114">
            <w:pPr>
              <w:kinsoku w:val="0"/>
              <w:overflowPunct w:val="0"/>
              <w:autoSpaceDE w:val="0"/>
              <w:autoSpaceDN w:val="0"/>
              <w:adjustRightInd w:val="0"/>
              <w:snapToGrid w:val="0"/>
              <w:jc w:val="center"/>
              <w:rPr>
                <w:rFonts w:ascii="Times New Roman" w:hAnsi="Times New Roman"/>
                <w:sz w:val="21"/>
                <w:szCs w:val="21"/>
              </w:rPr>
            </w:pPr>
            <w:r w:rsidRPr="00916B56">
              <w:rPr>
                <w:rFonts w:ascii="Times New Roman" w:hAnsi="Times New Roman"/>
                <w:sz w:val="21"/>
                <w:szCs w:val="21"/>
              </w:rPr>
              <w:t xml:space="preserve">Representative for Securities Affairs </w:t>
            </w:r>
          </w:p>
        </w:tc>
      </w:tr>
      <w:tr w:rsidR="00FD0F1A" w:rsidRPr="00916B56" w14:paraId="4D1F1AAC" w14:textId="77777777" w:rsidTr="00A04AB2">
        <w:tc>
          <w:tcPr>
            <w:tcW w:w="595" w:type="pct"/>
            <w:tcBorders>
              <w:top w:val="single" w:sz="4" w:space="0" w:color="auto"/>
              <w:bottom w:val="single" w:sz="4" w:space="0" w:color="auto"/>
              <w:right w:val="single" w:sz="4" w:space="0" w:color="auto"/>
            </w:tcBorders>
          </w:tcPr>
          <w:p w14:paraId="6D978680"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Name</w:t>
            </w:r>
          </w:p>
        </w:tc>
        <w:tc>
          <w:tcPr>
            <w:tcW w:w="2135" w:type="pct"/>
            <w:tcBorders>
              <w:top w:val="single" w:sz="4" w:space="0" w:color="auto"/>
              <w:left w:val="single" w:sz="4" w:space="0" w:color="auto"/>
              <w:bottom w:val="single" w:sz="4" w:space="0" w:color="auto"/>
              <w:right w:val="single" w:sz="4" w:space="0" w:color="auto"/>
            </w:tcBorders>
          </w:tcPr>
          <w:p w14:paraId="690FD595" w14:textId="77777777" w:rsidR="00915114" w:rsidRPr="00916B56" w:rsidRDefault="005E30C9"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Zhang </w:t>
            </w:r>
            <w:proofErr w:type="spellStart"/>
            <w:r w:rsidRPr="00916B56">
              <w:rPr>
                <w:rFonts w:ascii="Times New Roman" w:hAnsi="Times New Roman"/>
                <w:sz w:val="21"/>
                <w:szCs w:val="21"/>
              </w:rPr>
              <w:t>Xiaoquan</w:t>
            </w:r>
            <w:proofErr w:type="spellEnd"/>
          </w:p>
        </w:tc>
        <w:tc>
          <w:tcPr>
            <w:tcW w:w="2269" w:type="pct"/>
            <w:tcBorders>
              <w:top w:val="single" w:sz="4" w:space="0" w:color="auto"/>
              <w:left w:val="single" w:sz="4" w:space="0" w:color="auto"/>
              <w:bottom w:val="single" w:sz="4" w:space="0" w:color="auto"/>
            </w:tcBorders>
          </w:tcPr>
          <w:p w14:paraId="1F81AEE4" w14:textId="77777777" w:rsidR="00915114" w:rsidRPr="00916B56" w:rsidRDefault="005E30C9"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Zhou </w:t>
            </w:r>
            <w:proofErr w:type="spellStart"/>
            <w:r w:rsidRPr="00916B56">
              <w:rPr>
                <w:rFonts w:ascii="Times New Roman" w:hAnsi="Times New Roman"/>
                <w:sz w:val="21"/>
                <w:szCs w:val="21"/>
              </w:rPr>
              <w:t>Wensen</w:t>
            </w:r>
            <w:proofErr w:type="spellEnd"/>
          </w:p>
        </w:tc>
      </w:tr>
      <w:tr w:rsidR="00FD0F1A" w:rsidRPr="00916B56" w14:paraId="4C06C6BE" w14:textId="77777777" w:rsidTr="00A04AB2">
        <w:tc>
          <w:tcPr>
            <w:tcW w:w="595" w:type="pct"/>
            <w:tcBorders>
              <w:top w:val="single" w:sz="4" w:space="0" w:color="auto"/>
              <w:bottom w:val="single" w:sz="4" w:space="0" w:color="auto"/>
              <w:right w:val="single" w:sz="4" w:space="0" w:color="auto"/>
            </w:tcBorders>
          </w:tcPr>
          <w:p w14:paraId="3D4F1B04"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Address</w:t>
            </w:r>
          </w:p>
        </w:tc>
        <w:tc>
          <w:tcPr>
            <w:tcW w:w="2135" w:type="pct"/>
            <w:tcBorders>
              <w:top w:val="single" w:sz="4" w:space="0" w:color="auto"/>
              <w:left w:val="single" w:sz="4" w:space="0" w:color="auto"/>
              <w:bottom w:val="single" w:sz="4" w:space="0" w:color="auto"/>
              <w:right w:val="single" w:sz="4" w:space="0" w:color="auto"/>
            </w:tcBorders>
          </w:tcPr>
          <w:p w14:paraId="1ECC3CD3"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No. 116, Lane 456, </w:t>
            </w:r>
            <w:proofErr w:type="spellStart"/>
            <w:r w:rsidRPr="00916B56">
              <w:rPr>
                <w:rFonts w:ascii="Times New Roman" w:hAnsi="Times New Roman"/>
                <w:sz w:val="21"/>
                <w:szCs w:val="21"/>
              </w:rPr>
              <w:t>Dieqiao</w:t>
            </w:r>
            <w:proofErr w:type="spellEnd"/>
            <w:r w:rsidRPr="00916B56">
              <w:rPr>
                <w:rFonts w:ascii="Times New Roman" w:hAnsi="Times New Roman"/>
                <w:sz w:val="21"/>
                <w:szCs w:val="21"/>
              </w:rPr>
              <w:t xml:space="preserve"> Road, </w:t>
            </w:r>
            <w:proofErr w:type="spellStart"/>
            <w:r w:rsidRPr="00916B56">
              <w:rPr>
                <w:rFonts w:ascii="Times New Roman" w:hAnsi="Times New Roman"/>
                <w:sz w:val="21"/>
                <w:szCs w:val="21"/>
              </w:rPr>
              <w:t>Pudong</w:t>
            </w:r>
            <w:proofErr w:type="spellEnd"/>
            <w:r w:rsidRPr="00916B56">
              <w:rPr>
                <w:rFonts w:ascii="Times New Roman" w:hAnsi="Times New Roman"/>
                <w:sz w:val="21"/>
                <w:szCs w:val="21"/>
              </w:rPr>
              <w:t xml:space="preserve"> New Area, Shanghai</w:t>
            </w:r>
          </w:p>
        </w:tc>
        <w:tc>
          <w:tcPr>
            <w:tcW w:w="2269" w:type="pct"/>
            <w:tcBorders>
              <w:top w:val="single" w:sz="4" w:space="0" w:color="auto"/>
              <w:left w:val="single" w:sz="4" w:space="0" w:color="auto"/>
              <w:bottom w:val="single" w:sz="4" w:space="0" w:color="auto"/>
            </w:tcBorders>
          </w:tcPr>
          <w:p w14:paraId="1C46325C"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No. 116, Lane 456, </w:t>
            </w:r>
            <w:proofErr w:type="spellStart"/>
            <w:r w:rsidRPr="00916B56">
              <w:rPr>
                <w:rFonts w:ascii="Times New Roman" w:hAnsi="Times New Roman"/>
                <w:sz w:val="21"/>
                <w:szCs w:val="21"/>
              </w:rPr>
              <w:t>Dieqiao</w:t>
            </w:r>
            <w:proofErr w:type="spellEnd"/>
            <w:r w:rsidRPr="00916B56">
              <w:rPr>
                <w:rFonts w:ascii="Times New Roman" w:hAnsi="Times New Roman"/>
                <w:sz w:val="21"/>
                <w:szCs w:val="21"/>
              </w:rPr>
              <w:t xml:space="preserve"> Road, </w:t>
            </w:r>
            <w:proofErr w:type="spellStart"/>
            <w:r w:rsidRPr="00916B56">
              <w:rPr>
                <w:rFonts w:ascii="Times New Roman" w:hAnsi="Times New Roman"/>
                <w:sz w:val="21"/>
                <w:szCs w:val="21"/>
              </w:rPr>
              <w:t>Pudong</w:t>
            </w:r>
            <w:proofErr w:type="spellEnd"/>
            <w:r w:rsidRPr="00916B56">
              <w:rPr>
                <w:rFonts w:ascii="Times New Roman" w:hAnsi="Times New Roman"/>
                <w:sz w:val="21"/>
                <w:szCs w:val="21"/>
              </w:rPr>
              <w:t xml:space="preserve"> New Area, Shanghai</w:t>
            </w:r>
          </w:p>
        </w:tc>
      </w:tr>
      <w:tr w:rsidR="00FD0F1A" w:rsidRPr="00916B56" w14:paraId="3FAEA64B" w14:textId="77777777" w:rsidTr="00A04AB2">
        <w:tc>
          <w:tcPr>
            <w:tcW w:w="595" w:type="pct"/>
            <w:tcBorders>
              <w:top w:val="single" w:sz="4" w:space="0" w:color="auto"/>
              <w:bottom w:val="single" w:sz="4" w:space="0" w:color="auto"/>
              <w:right w:val="single" w:sz="4" w:space="0" w:color="auto"/>
            </w:tcBorders>
          </w:tcPr>
          <w:p w14:paraId="3B034043"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Tel.</w:t>
            </w:r>
          </w:p>
        </w:tc>
        <w:tc>
          <w:tcPr>
            <w:tcW w:w="2135" w:type="pct"/>
            <w:tcBorders>
              <w:top w:val="single" w:sz="4" w:space="0" w:color="auto"/>
              <w:left w:val="single" w:sz="4" w:space="0" w:color="auto"/>
              <w:bottom w:val="single" w:sz="4" w:space="0" w:color="auto"/>
              <w:right w:val="single" w:sz="4" w:space="0" w:color="auto"/>
            </w:tcBorders>
          </w:tcPr>
          <w:p w14:paraId="06C530FF"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(021) 61902930</w:t>
            </w:r>
          </w:p>
        </w:tc>
        <w:tc>
          <w:tcPr>
            <w:tcW w:w="2269" w:type="pct"/>
            <w:tcBorders>
              <w:top w:val="single" w:sz="4" w:space="0" w:color="auto"/>
              <w:left w:val="single" w:sz="4" w:space="0" w:color="auto"/>
              <w:bottom w:val="single" w:sz="4" w:space="0" w:color="auto"/>
            </w:tcBorders>
          </w:tcPr>
          <w:p w14:paraId="55F55444"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(021) 61902930</w:t>
            </w:r>
          </w:p>
        </w:tc>
      </w:tr>
      <w:tr w:rsidR="00FD0F1A" w:rsidRPr="00916B56" w14:paraId="2D3B4B27" w14:textId="77777777" w:rsidTr="00A04AB2">
        <w:tc>
          <w:tcPr>
            <w:tcW w:w="595" w:type="pct"/>
            <w:tcBorders>
              <w:top w:val="single" w:sz="4" w:space="0" w:color="auto"/>
              <w:bottom w:val="single" w:sz="4" w:space="0" w:color="auto"/>
              <w:right w:val="single" w:sz="4" w:space="0" w:color="auto"/>
            </w:tcBorders>
          </w:tcPr>
          <w:p w14:paraId="2A2E732C"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Fax</w:t>
            </w:r>
          </w:p>
        </w:tc>
        <w:tc>
          <w:tcPr>
            <w:tcW w:w="2135" w:type="pct"/>
            <w:tcBorders>
              <w:top w:val="single" w:sz="4" w:space="0" w:color="auto"/>
              <w:left w:val="single" w:sz="4" w:space="0" w:color="auto"/>
              <w:bottom w:val="single" w:sz="4" w:space="0" w:color="auto"/>
              <w:right w:val="single" w:sz="4" w:space="0" w:color="auto"/>
            </w:tcBorders>
          </w:tcPr>
          <w:p w14:paraId="5305365A"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(021) 61902908</w:t>
            </w:r>
          </w:p>
        </w:tc>
        <w:tc>
          <w:tcPr>
            <w:tcW w:w="2269" w:type="pct"/>
            <w:tcBorders>
              <w:top w:val="single" w:sz="4" w:space="0" w:color="auto"/>
              <w:left w:val="single" w:sz="4" w:space="0" w:color="auto"/>
              <w:bottom w:val="single" w:sz="4" w:space="0" w:color="auto"/>
            </w:tcBorders>
          </w:tcPr>
          <w:p w14:paraId="0A02EC98"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(021) 61902908</w:t>
            </w:r>
          </w:p>
        </w:tc>
      </w:tr>
      <w:tr w:rsidR="00915114" w:rsidRPr="00916B56" w14:paraId="51733FD4" w14:textId="77777777" w:rsidTr="00A04AB2">
        <w:tc>
          <w:tcPr>
            <w:tcW w:w="595" w:type="pct"/>
            <w:tcBorders>
              <w:top w:val="single" w:sz="4" w:space="0" w:color="auto"/>
              <w:bottom w:val="single" w:sz="4" w:space="0" w:color="auto"/>
              <w:right w:val="single" w:sz="4" w:space="0" w:color="auto"/>
            </w:tcBorders>
          </w:tcPr>
          <w:p w14:paraId="56BED907"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E-mail</w:t>
            </w:r>
          </w:p>
        </w:tc>
        <w:tc>
          <w:tcPr>
            <w:tcW w:w="2135" w:type="pct"/>
            <w:tcBorders>
              <w:top w:val="single" w:sz="4" w:space="0" w:color="auto"/>
              <w:left w:val="single" w:sz="4" w:space="0" w:color="auto"/>
              <w:bottom w:val="single" w:sz="4" w:space="0" w:color="auto"/>
              <w:right w:val="single" w:sz="4" w:space="0" w:color="auto"/>
            </w:tcBorders>
          </w:tcPr>
          <w:p w14:paraId="7298D4C8"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IR@putailai.com</w:t>
            </w:r>
          </w:p>
        </w:tc>
        <w:tc>
          <w:tcPr>
            <w:tcW w:w="2269" w:type="pct"/>
            <w:tcBorders>
              <w:top w:val="single" w:sz="4" w:space="0" w:color="auto"/>
              <w:left w:val="single" w:sz="4" w:space="0" w:color="auto"/>
              <w:bottom w:val="single" w:sz="4" w:space="0" w:color="auto"/>
            </w:tcBorders>
          </w:tcPr>
          <w:p w14:paraId="6C27E46E" w14:textId="77777777" w:rsidR="00915114" w:rsidRPr="00916B56" w:rsidRDefault="00915114" w:rsidP="00915114">
            <w:pPr>
              <w:kinsoku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IR@putailai.com</w:t>
            </w:r>
          </w:p>
        </w:tc>
      </w:tr>
    </w:tbl>
    <w:p w14:paraId="67C49DA8" w14:textId="7F5ED39D" w:rsidR="00915114" w:rsidRPr="00916B56" w:rsidRDefault="00915114" w:rsidP="00792EB2">
      <w:pPr>
        <w:spacing w:line="360" w:lineRule="auto"/>
        <w:rPr>
          <w:rFonts w:ascii="Times New Roman" w:hAnsi="Times New Roman" w:cs="Times New Roman" w:hint="eastAsia"/>
          <w:szCs w:val="21"/>
          <w:lang w:val="en"/>
        </w:rPr>
      </w:pPr>
    </w:p>
    <w:p w14:paraId="7CE115B6" w14:textId="558CA7BB" w:rsidR="00915114" w:rsidRPr="00916B56" w:rsidRDefault="00915114" w:rsidP="00915114">
      <w:pPr>
        <w:keepNext/>
        <w:keepLines/>
        <w:numPr>
          <w:ilvl w:val="1"/>
          <w:numId w:val="1"/>
        </w:numPr>
        <w:spacing w:before="60" w:after="60"/>
        <w:ind w:left="498" w:hangingChars="236" w:hanging="498"/>
        <w:outlineLvl w:val="1"/>
        <w:rPr>
          <w:rFonts w:ascii="Times New Roman" w:eastAsia="宋体" w:hAnsi="Times New Roman" w:cs="Times New Roman"/>
          <w:b/>
          <w:bCs/>
          <w:szCs w:val="21"/>
          <w:lang w:val="en"/>
        </w:rPr>
      </w:pPr>
      <w:bookmarkStart w:id="2" w:name="_Toc342056397"/>
      <w:bookmarkStart w:id="3" w:name="_Toc342565889"/>
      <w:r w:rsidRPr="00916B56">
        <w:rPr>
          <w:rFonts w:ascii="Times New Roman" w:eastAsia="宋体" w:hAnsi="Times New Roman" w:cs="Times New Roman"/>
          <w:b/>
          <w:bCs/>
          <w:szCs w:val="21"/>
          <w:lang w:val="en"/>
        </w:rPr>
        <w:t>Key Accounti</w:t>
      </w:r>
      <w:r w:rsidR="0075599E" w:rsidRPr="00916B56">
        <w:rPr>
          <w:rFonts w:ascii="Times New Roman" w:eastAsia="宋体" w:hAnsi="Times New Roman" w:cs="Times New Roman"/>
          <w:b/>
          <w:bCs/>
          <w:szCs w:val="21"/>
          <w:lang w:val="en"/>
        </w:rPr>
        <w:t xml:space="preserve">ng Data and Financial Indicators </w:t>
      </w:r>
      <w:r w:rsidR="009C372A" w:rsidRPr="00916B56">
        <w:rPr>
          <w:rFonts w:ascii="Times New Roman" w:eastAsia="宋体" w:hAnsi="Times New Roman" w:cs="Times New Roman" w:hint="eastAsia"/>
          <w:b/>
          <w:bCs/>
          <w:szCs w:val="21"/>
          <w:lang w:val="en"/>
        </w:rPr>
        <w:t xml:space="preserve">for </w:t>
      </w:r>
      <w:r w:rsidRPr="00916B56">
        <w:rPr>
          <w:rFonts w:ascii="Times New Roman" w:eastAsia="宋体" w:hAnsi="Times New Roman" w:cs="Times New Roman"/>
          <w:b/>
          <w:bCs/>
          <w:szCs w:val="21"/>
          <w:lang w:val="en"/>
        </w:rPr>
        <w:t>the past three years</w:t>
      </w:r>
      <w:bookmarkEnd w:id="2"/>
      <w:bookmarkEnd w:id="3"/>
    </w:p>
    <w:p w14:paraId="620AE598" w14:textId="15C23716" w:rsidR="00915114" w:rsidRPr="00916B56" w:rsidRDefault="0075599E" w:rsidP="00915114">
      <w:pPr>
        <w:keepNext/>
        <w:keepLines/>
        <w:numPr>
          <w:ilvl w:val="1"/>
          <w:numId w:val="2"/>
        </w:numPr>
        <w:spacing w:before="60" w:after="60"/>
        <w:outlineLvl w:val="2"/>
        <w:rPr>
          <w:rFonts w:ascii="Times New Roman" w:eastAsia="宋体" w:hAnsi="Times New Roman" w:cs="Times New Roman"/>
          <w:b/>
          <w:bCs/>
          <w:kern w:val="0"/>
          <w:szCs w:val="21"/>
          <w:lang w:val="en"/>
        </w:rPr>
      </w:pPr>
      <w:r w:rsidRPr="00916B56">
        <w:rPr>
          <w:rFonts w:ascii="Times New Roman" w:eastAsia="宋体" w:hAnsi="Times New Roman" w:cs="Times New Roman"/>
          <w:b/>
          <w:bCs/>
          <w:kern w:val="0"/>
          <w:szCs w:val="21"/>
          <w:lang w:val="en"/>
        </w:rPr>
        <w:t>Key Accounting D</w:t>
      </w:r>
      <w:r w:rsidR="00915114" w:rsidRPr="00916B56">
        <w:rPr>
          <w:rFonts w:ascii="Times New Roman" w:eastAsia="宋体" w:hAnsi="Times New Roman" w:cs="Times New Roman"/>
          <w:b/>
          <w:bCs/>
          <w:kern w:val="0"/>
          <w:szCs w:val="21"/>
          <w:lang w:val="en"/>
        </w:rPr>
        <w:t>ata</w:t>
      </w:r>
    </w:p>
    <w:p w14:paraId="5716E96F" w14:textId="77777777" w:rsidR="00915114" w:rsidRPr="00916B56" w:rsidRDefault="00915114" w:rsidP="00915114">
      <w:pPr>
        <w:jc w:val="right"/>
        <w:rPr>
          <w:rFonts w:ascii="Times New Roman" w:hAnsi="Times New Roman" w:cs="Times New Roman"/>
          <w:szCs w:val="21"/>
          <w:lang w:val="en"/>
        </w:rPr>
      </w:pPr>
      <w:r w:rsidRPr="00916B56">
        <w:rPr>
          <w:rFonts w:ascii="Times New Roman" w:hAnsi="Times New Roman" w:cs="Times New Roman"/>
          <w:szCs w:val="21"/>
          <w:lang w:val="en"/>
        </w:rPr>
        <w:t>Unit: CNY</w:t>
      </w:r>
    </w:p>
    <w:tbl>
      <w:tblPr>
        <w:tblStyle w:val="1"/>
        <w:tblW w:w="5124" w:type="pct"/>
        <w:tblLayout w:type="fixed"/>
        <w:tblLook w:val="0000" w:firstRow="0" w:lastRow="0" w:firstColumn="0" w:lastColumn="0" w:noHBand="0" w:noVBand="0"/>
      </w:tblPr>
      <w:tblGrid>
        <w:gridCol w:w="1839"/>
        <w:gridCol w:w="1843"/>
        <w:gridCol w:w="1842"/>
        <w:gridCol w:w="1136"/>
        <w:gridCol w:w="1842"/>
      </w:tblGrid>
      <w:tr w:rsidR="00FD0F1A" w:rsidRPr="00916B56" w14:paraId="4ECEEBE7" w14:textId="77777777" w:rsidTr="00C03552">
        <w:trPr>
          <w:trHeight w:val="596"/>
        </w:trPr>
        <w:tc>
          <w:tcPr>
            <w:tcW w:w="1082" w:type="pct"/>
            <w:vAlign w:val="center"/>
          </w:tcPr>
          <w:p w14:paraId="250632C6" w14:textId="77777777" w:rsidR="00915114" w:rsidRPr="00916B56" w:rsidRDefault="00915114" w:rsidP="00915114">
            <w:pPr>
              <w:kinsoku w:val="0"/>
              <w:overflowPunct w:val="0"/>
              <w:autoSpaceDE w:val="0"/>
              <w:autoSpaceDN w:val="0"/>
              <w:adjustRightInd w:val="0"/>
              <w:snapToGrid w:val="0"/>
              <w:rPr>
                <w:sz w:val="21"/>
                <w:szCs w:val="21"/>
              </w:rPr>
            </w:pPr>
            <w:r w:rsidRPr="00916B56">
              <w:rPr>
                <w:sz w:val="21"/>
                <w:szCs w:val="21"/>
              </w:rPr>
              <w:t>Key accounting data</w:t>
            </w:r>
          </w:p>
        </w:tc>
        <w:tc>
          <w:tcPr>
            <w:tcW w:w="1084" w:type="pct"/>
            <w:vAlign w:val="center"/>
          </w:tcPr>
          <w:p w14:paraId="79D69B89" w14:textId="77777777" w:rsidR="00915114" w:rsidRPr="00916B56" w:rsidRDefault="00BB2AB2" w:rsidP="00915114">
            <w:pPr>
              <w:kinsoku w:val="0"/>
              <w:overflowPunct w:val="0"/>
              <w:autoSpaceDE w:val="0"/>
              <w:autoSpaceDN w:val="0"/>
              <w:adjustRightInd w:val="0"/>
              <w:snapToGrid w:val="0"/>
              <w:jc w:val="center"/>
              <w:rPr>
                <w:sz w:val="21"/>
                <w:szCs w:val="21"/>
              </w:rPr>
            </w:pPr>
            <w:r w:rsidRPr="00916B56">
              <w:rPr>
                <w:sz w:val="21"/>
                <w:szCs w:val="21"/>
              </w:rPr>
              <w:t>2025</w:t>
            </w:r>
          </w:p>
        </w:tc>
        <w:tc>
          <w:tcPr>
            <w:tcW w:w="1083" w:type="pct"/>
            <w:vAlign w:val="center"/>
          </w:tcPr>
          <w:p w14:paraId="3919CD28" w14:textId="77777777" w:rsidR="00915114" w:rsidRPr="00916B56" w:rsidRDefault="00BB2AB2" w:rsidP="00915114">
            <w:pPr>
              <w:kinsoku w:val="0"/>
              <w:overflowPunct w:val="0"/>
              <w:autoSpaceDE w:val="0"/>
              <w:autoSpaceDN w:val="0"/>
              <w:adjustRightInd w:val="0"/>
              <w:snapToGrid w:val="0"/>
              <w:jc w:val="center"/>
              <w:rPr>
                <w:sz w:val="21"/>
                <w:szCs w:val="21"/>
              </w:rPr>
            </w:pPr>
            <w:r w:rsidRPr="00916B56">
              <w:rPr>
                <w:sz w:val="21"/>
                <w:szCs w:val="21"/>
              </w:rPr>
              <w:t>2024</w:t>
            </w:r>
          </w:p>
        </w:tc>
        <w:tc>
          <w:tcPr>
            <w:tcW w:w="668" w:type="pct"/>
            <w:vAlign w:val="center"/>
          </w:tcPr>
          <w:p w14:paraId="2DE05112" w14:textId="77777777" w:rsidR="00915114" w:rsidRPr="00FB6A89" w:rsidRDefault="00915114" w:rsidP="00915114">
            <w:pPr>
              <w:kinsoku w:val="0"/>
              <w:overflowPunct w:val="0"/>
              <w:autoSpaceDE w:val="0"/>
              <w:autoSpaceDN w:val="0"/>
              <w:adjustRightInd w:val="0"/>
              <w:snapToGrid w:val="0"/>
              <w:jc w:val="center"/>
              <w:rPr>
                <w:szCs w:val="21"/>
              </w:rPr>
            </w:pPr>
            <w:r w:rsidRPr="00FB6A89">
              <w:rPr>
                <w:szCs w:val="21"/>
              </w:rPr>
              <w:t>Change(%)</w:t>
            </w:r>
          </w:p>
        </w:tc>
        <w:tc>
          <w:tcPr>
            <w:tcW w:w="1083" w:type="pct"/>
            <w:vAlign w:val="center"/>
          </w:tcPr>
          <w:p w14:paraId="1192FBB4" w14:textId="77777777" w:rsidR="00915114" w:rsidRPr="00916B56" w:rsidRDefault="00BB2AB2" w:rsidP="00915114">
            <w:pPr>
              <w:kinsoku w:val="0"/>
              <w:overflowPunct w:val="0"/>
              <w:autoSpaceDE w:val="0"/>
              <w:autoSpaceDN w:val="0"/>
              <w:adjustRightInd w:val="0"/>
              <w:snapToGrid w:val="0"/>
              <w:jc w:val="center"/>
              <w:rPr>
                <w:sz w:val="21"/>
                <w:szCs w:val="21"/>
              </w:rPr>
            </w:pPr>
            <w:r w:rsidRPr="00916B56">
              <w:rPr>
                <w:sz w:val="21"/>
                <w:szCs w:val="21"/>
              </w:rPr>
              <w:t>2023</w:t>
            </w:r>
          </w:p>
        </w:tc>
      </w:tr>
      <w:tr w:rsidR="00BB2AB2" w:rsidRPr="00916B56" w14:paraId="67EC3C38" w14:textId="77777777" w:rsidTr="00C03552">
        <w:trPr>
          <w:trHeight w:val="285"/>
        </w:trPr>
        <w:tc>
          <w:tcPr>
            <w:tcW w:w="1082" w:type="pct"/>
          </w:tcPr>
          <w:p w14:paraId="733CC9A4" w14:textId="77777777" w:rsidR="00BB2AB2" w:rsidRPr="00916B56" w:rsidRDefault="00BB2AB2" w:rsidP="00BB2AB2">
            <w:pPr>
              <w:kinsoku w:val="0"/>
              <w:overflowPunct w:val="0"/>
              <w:autoSpaceDE w:val="0"/>
              <w:autoSpaceDN w:val="0"/>
              <w:adjustRightInd w:val="0"/>
              <w:snapToGrid w:val="0"/>
              <w:rPr>
                <w:sz w:val="21"/>
                <w:szCs w:val="21"/>
              </w:rPr>
            </w:pPr>
            <w:r w:rsidRPr="00916B56">
              <w:rPr>
                <w:sz w:val="21"/>
                <w:szCs w:val="21"/>
              </w:rPr>
              <w:t>Operation revenue</w:t>
            </w:r>
          </w:p>
        </w:tc>
        <w:tc>
          <w:tcPr>
            <w:tcW w:w="1084" w:type="pct"/>
          </w:tcPr>
          <w:p w14:paraId="7E1098C7" w14:textId="77777777" w:rsidR="00BB2AB2" w:rsidRPr="00916B56" w:rsidRDefault="00BB2AB2" w:rsidP="00BB2AB2">
            <w:pPr>
              <w:jc w:val="right"/>
              <w:rPr>
                <w:sz w:val="21"/>
                <w:szCs w:val="21"/>
              </w:rPr>
            </w:pPr>
            <w:r w:rsidRPr="00916B56">
              <w:rPr>
                <w:sz w:val="21"/>
                <w:szCs w:val="21"/>
              </w:rPr>
              <w:t>15,711,291,195.73</w:t>
            </w:r>
          </w:p>
        </w:tc>
        <w:tc>
          <w:tcPr>
            <w:tcW w:w="1083" w:type="pct"/>
          </w:tcPr>
          <w:p w14:paraId="5DC20267" w14:textId="77777777" w:rsidR="00BB2AB2" w:rsidRPr="00916B56" w:rsidRDefault="00BB2AB2" w:rsidP="00BB2AB2">
            <w:pPr>
              <w:jc w:val="right"/>
              <w:rPr>
                <w:sz w:val="21"/>
                <w:szCs w:val="21"/>
              </w:rPr>
            </w:pPr>
            <w:r w:rsidRPr="00916B56">
              <w:rPr>
                <w:sz w:val="21"/>
                <w:szCs w:val="21"/>
              </w:rPr>
              <w:t>13,448,428,962.76</w:t>
            </w:r>
          </w:p>
        </w:tc>
        <w:tc>
          <w:tcPr>
            <w:tcW w:w="668" w:type="pct"/>
          </w:tcPr>
          <w:p w14:paraId="76E309D9" w14:textId="77777777" w:rsidR="00BB2AB2" w:rsidRPr="00916B56" w:rsidRDefault="00BB2AB2" w:rsidP="00BB2AB2">
            <w:pPr>
              <w:jc w:val="right"/>
              <w:rPr>
                <w:sz w:val="21"/>
                <w:szCs w:val="21"/>
              </w:rPr>
            </w:pPr>
            <w:r w:rsidRPr="00916B56">
              <w:rPr>
                <w:sz w:val="21"/>
                <w:szCs w:val="21"/>
              </w:rPr>
              <w:t>16.83</w:t>
            </w:r>
          </w:p>
        </w:tc>
        <w:tc>
          <w:tcPr>
            <w:tcW w:w="1083" w:type="pct"/>
          </w:tcPr>
          <w:p w14:paraId="7EFDC144" w14:textId="77777777" w:rsidR="00BB2AB2" w:rsidRPr="00916B56" w:rsidRDefault="00BB2AB2" w:rsidP="00BB2AB2">
            <w:pPr>
              <w:jc w:val="right"/>
              <w:rPr>
                <w:sz w:val="21"/>
                <w:szCs w:val="21"/>
              </w:rPr>
            </w:pPr>
            <w:r w:rsidRPr="00916B56">
              <w:rPr>
                <w:sz w:val="21"/>
                <w:szCs w:val="21"/>
              </w:rPr>
              <w:t>15,340,041,057.24</w:t>
            </w:r>
          </w:p>
        </w:tc>
      </w:tr>
      <w:tr w:rsidR="00BB2AB2" w:rsidRPr="00916B56" w14:paraId="029EA282" w14:textId="77777777" w:rsidTr="00C03552">
        <w:trPr>
          <w:trHeight w:val="285"/>
        </w:trPr>
        <w:tc>
          <w:tcPr>
            <w:tcW w:w="1082" w:type="pct"/>
          </w:tcPr>
          <w:p w14:paraId="6CCF2D8C" w14:textId="77777777" w:rsidR="00BB2AB2" w:rsidRPr="00916B56" w:rsidRDefault="00BB2AB2" w:rsidP="00BB2AB2">
            <w:pPr>
              <w:kinsoku w:val="0"/>
              <w:wordWrap w:val="0"/>
              <w:overflowPunct w:val="0"/>
              <w:autoSpaceDE w:val="0"/>
              <w:autoSpaceDN w:val="0"/>
              <w:adjustRightInd w:val="0"/>
              <w:snapToGrid w:val="0"/>
              <w:rPr>
                <w:sz w:val="21"/>
                <w:szCs w:val="21"/>
              </w:rPr>
            </w:pPr>
            <w:bookmarkStart w:id="4" w:name="_Hlk199242464"/>
            <w:r w:rsidRPr="00916B56">
              <w:rPr>
                <w:sz w:val="21"/>
                <w:szCs w:val="21"/>
              </w:rPr>
              <w:t xml:space="preserve">Net profits attributable to shareholders of the </w:t>
            </w:r>
            <w:proofErr w:type="spellStart"/>
            <w:r w:rsidRPr="00916B56">
              <w:rPr>
                <w:sz w:val="21"/>
                <w:szCs w:val="21"/>
              </w:rPr>
              <w:t>the</w:t>
            </w:r>
            <w:proofErr w:type="spellEnd"/>
            <w:r w:rsidRPr="00916B56">
              <w:rPr>
                <w:sz w:val="21"/>
                <w:szCs w:val="21"/>
              </w:rPr>
              <w:t xml:space="preserve"> listed company</w:t>
            </w:r>
          </w:p>
        </w:tc>
        <w:tc>
          <w:tcPr>
            <w:tcW w:w="1084" w:type="pct"/>
            <w:vAlign w:val="center"/>
          </w:tcPr>
          <w:p w14:paraId="631341B4"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2,359,053,946.35</w:t>
            </w:r>
          </w:p>
        </w:tc>
        <w:tc>
          <w:tcPr>
            <w:tcW w:w="1083" w:type="pct"/>
            <w:vAlign w:val="center"/>
          </w:tcPr>
          <w:p w14:paraId="74CC7B51" w14:textId="77777777" w:rsidR="00BB2AB2" w:rsidRPr="00916B56" w:rsidRDefault="00BB2AB2" w:rsidP="00BB2AB2">
            <w:pPr>
              <w:kinsoku w:val="0"/>
              <w:overflowPunct w:val="0"/>
              <w:autoSpaceDE w:val="0"/>
              <w:autoSpaceDN w:val="0"/>
              <w:adjustRightInd w:val="0"/>
              <w:snapToGrid w:val="0"/>
              <w:jc w:val="right"/>
              <w:rPr>
                <w:bCs/>
                <w:sz w:val="21"/>
                <w:szCs w:val="21"/>
              </w:rPr>
            </w:pPr>
            <w:r w:rsidRPr="00916B56">
              <w:rPr>
                <w:sz w:val="21"/>
                <w:szCs w:val="21"/>
              </w:rPr>
              <w:t>1,190,617,983.28</w:t>
            </w:r>
          </w:p>
        </w:tc>
        <w:tc>
          <w:tcPr>
            <w:tcW w:w="668" w:type="pct"/>
            <w:vAlign w:val="center"/>
          </w:tcPr>
          <w:p w14:paraId="63A3C5F7"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98.14</w:t>
            </w:r>
          </w:p>
        </w:tc>
        <w:tc>
          <w:tcPr>
            <w:tcW w:w="1083" w:type="pct"/>
            <w:vAlign w:val="center"/>
          </w:tcPr>
          <w:p w14:paraId="1CEE722B"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1,911,603,496.56</w:t>
            </w:r>
          </w:p>
        </w:tc>
      </w:tr>
      <w:tr w:rsidR="00BB2AB2" w:rsidRPr="00916B56" w14:paraId="0012E7F2" w14:textId="77777777" w:rsidTr="00C03552">
        <w:trPr>
          <w:trHeight w:val="285"/>
        </w:trPr>
        <w:tc>
          <w:tcPr>
            <w:tcW w:w="1082" w:type="pct"/>
          </w:tcPr>
          <w:p w14:paraId="1ACD0243" w14:textId="77777777" w:rsidR="00BB2AB2" w:rsidRPr="00916B56" w:rsidRDefault="00BB2AB2" w:rsidP="00BB2AB2">
            <w:pPr>
              <w:kinsoku w:val="0"/>
              <w:wordWrap w:val="0"/>
              <w:overflowPunct w:val="0"/>
              <w:autoSpaceDE w:val="0"/>
              <w:autoSpaceDN w:val="0"/>
              <w:adjustRightInd w:val="0"/>
              <w:snapToGrid w:val="0"/>
              <w:rPr>
                <w:sz w:val="21"/>
                <w:szCs w:val="21"/>
              </w:rPr>
            </w:pPr>
            <w:r w:rsidRPr="00916B56">
              <w:rPr>
                <w:sz w:val="21"/>
                <w:szCs w:val="21"/>
              </w:rPr>
              <w:t>Net profits attributable to shareholders of the listed company after deduction of non-recurring gains and losses</w:t>
            </w:r>
          </w:p>
        </w:tc>
        <w:tc>
          <w:tcPr>
            <w:tcW w:w="1084" w:type="pct"/>
            <w:vAlign w:val="center"/>
          </w:tcPr>
          <w:p w14:paraId="45DC7E30"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2,219,130,562.39</w:t>
            </w:r>
          </w:p>
        </w:tc>
        <w:tc>
          <w:tcPr>
            <w:tcW w:w="1083" w:type="pct"/>
            <w:vAlign w:val="center"/>
          </w:tcPr>
          <w:p w14:paraId="36E1CA9C" w14:textId="77777777" w:rsidR="00BB2AB2" w:rsidRPr="00916B56" w:rsidRDefault="00BB2AB2" w:rsidP="00BB2AB2">
            <w:pPr>
              <w:kinsoku w:val="0"/>
              <w:overflowPunct w:val="0"/>
              <w:autoSpaceDE w:val="0"/>
              <w:autoSpaceDN w:val="0"/>
              <w:adjustRightInd w:val="0"/>
              <w:snapToGrid w:val="0"/>
              <w:jc w:val="right"/>
              <w:rPr>
                <w:bCs/>
                <w:sz w:val="21"/>
                <w:szCs w:val="21"/>
              </w:rPr>
            </w:pPr>
            <w:r w:rsidRPr="00916B56">
              <w:rPr>
                <w:sz w:val="21"/>
                <w:szCs w:val="21"/>
              </w:rPr>
              <w:t>1,063,131,777.83</w:t>
            </w:r>
          </w:p>
        </w:tc>
        <w:tc>
          <w:tcPr>
            <w:tcW w:w="668" w:type="pct"/>
            <w:vAlign w:val="center"/>
          </w:tcPr>
          <w:p w14:paraId="0F268DFA"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108.74</w:t>
            </w:r>
          </w:p>
        </w:tc>
        <w:tc>
          <w:tcPr>
            <w:tcW w:w="1083" w:type="pct"/>
            <w:vAlign w:val="center"/>
          </w:tcPr>
          <w:p w14:paraId="5521785A"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1,780,776,488.62</w:t>
            </w:r>
          </w:p>
        </w:tc>
      </w:tr>
      <w:tr w:rsidR="00BB2AB2" w:rsidRPr="00916B56" w14:paraId="3513EB37" w14:textId="77777777" w:rsidTr="00C03552">
        <w:trPr>
          <w:trHeight w:val="285"/>
        </w:trPr>
        <w:tc>
          <w:tcPr>
            <w:tcW w:w="1082" w:type="pct"/>
          </w:tcPr>
          <w:p w14:paraId="7058DAD2" w14:textId="77777777" w:rsidR="00BB2AB2" w:rsidRPr="00916B56" w:rsidRDefault="00BB2AB2" w:rsidP="00BB2AB2">
            <w:pPr>
              <w:kinsoku w:val="0"/>
              <w:overflowPunct w:val="0"/>
              <w:autoSpaceDE w:val="0"/>
              <w:autoSpaceDN w:val="0"/>
              <w:adjustRightInd w:val="0"/>
              <w:snapToGrid w:val="0"/>
              <w:rPr>
                <w:sz w:val="21"/>
                <w:szCs w:val="21"/>
                <w:highlight w:val="magenta"/>
              </w:rPr>
            </w:pPr>
            <w:r w:rsidRPr="00916B56">
              <w:rPr>
                <w:sz w:val="21"/>
                <w:szCs w:val="21"/>
              </w:rPr>
              <w:t>Net cash flows from operating activities</w:t>
            </w:r>
          </w:p>
        </w:tc>
        <w:tc>
          <w:tcPr>
            <w:tcW w:w="1084" w:type="pct"/>
            <w:vAlign w:val="center"/>
          </w:tcPr>
          <w:p w14:paraId="1BCF9511"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2,697,297,972.24</w:t>
            </w:r>
          </w:p>
        </w:tc>
        <w:tc>
          <w:tcPr>
            <w:tcW w:w="1083" w:type="pct"/>
            <w:vAlign w:val="center"/>
          </w:tcPr>
          <w:p w14:paraId="05966826"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2,371,682,508.21</w:t>
            </w:r>
          </w:p>
        </w:tc>
        <w:tc>
          <w:tcPr>
            <w:tcW w:w="668" w:type="pct"/>
            <w:vAlign w:val="center"/>
          </w:tcPr>
          <w:p w14:paraId="76262B67"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13.73</w:t>
            </w:r>
          </w:p>
        </w:tc>
        <w:tc>
          <w:tcPr>
            <w:tcW w:w="1083" w:type="pct"/>
            <w:vAlign w:val="center"/>
          </w:tcPr>
          <w:p w14:paraId="315C1810"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1,117,806,387.29</w:t>
            </w:r>
          </w:p>
        </w:tc>
      </w:tr>
      <w:bookmarkEnd w:id="4"/>
      <w:tr w:rsidR="00FD0F1A" w:rsidRPr="00916B56" w14:paraId="024C4DEB" w14:textId="77777777" w:rsidTr="00C03552">
        <w:trPr>
          <w:trHeight w:val="533"/>
        </w:trPr>
        <w:tc>
          <w:tcPr>
            <w:tcW w:w="1082" w:type="pct"/>
          </w:tcPr>
          <w:p w14:paraId="583368CF" w14:textId="77777777" w:rsidR="00B5705B" w:rsidRPr="00916B56" w:rsidRDefault="00B5705B" w:rsidP="00B5705B">
            <w:pPr>
              <w:kinsoku w:val="0"/>
              <w:overflowPunct w:val="0"/>
              <w:autoSpaceDE w:val="0"/>
              <w:autoSpaceDN w:val="0"/>
              <w:adjustRightInd w:val="0"/>
              <w:snapToGrid w:val="0"/>
              <w:rPr>
                <w:sz w:val="21"/>
                <w:szCs w:val="21"/>
              </w:rPr>
            </w:pPr>
          </w:p>
        </w:tc>
        <w:tc>
          <w:tcPr>
            <w:tcW w:w="1084" w:type="pct"/>
            <w:vAlign w:val="center"/>
          </w:tcPr>
          <w:p w14:paraId="4748A025" w14:textId="188B1C38" w:rsidR="00B5705B" w:rsidRPr="00916B56" w:rsidRDefault="00345D31" w:rsidP="00B5705B">
            <w:pPr>
              <w:kinsoku w:val="0"/>
              <w:overflowPunct w:val="0"/>
              <w:autoSpaceDE w:val="0"/>
              <w:autoSpaceDN w:val="0"/>
              <w:adjustRightInd w:val="0"/>
              <w:snapToGrid w:val="0"/>
              <w:jc w:val="center"/>
              <w:rPr>
                <w:sz w:val="21"/>
                <w:szCs w:val="21"/>
              </w:rPr>
            </w:pPr>
            <w:r>
              <w:rPr>
                <w:sz w:val="21"/>
                <w:szCs w:val="21"/>
              </w:rPr>
              <w:t>31 December 2025</w:t>
            </w:r>
          </w:p>
        </w:tc>
        <w:tc>
          <w:tcPr>
            <w:tcW w:w="1083" w:type="pct"/>
            <w:vAlign w:val="center"/>
          </w:tcPr>
          <w:p w14:paraId="48348834" w14:textId="33E4ADF1" w:rsidR="00B5705B" w:rsidRPr="00916B56" w:rsidRDefault="00345D31" w:rsidP="00B5705B">
            <w:pPr>
              <w:kinsoku w:val="0"/>
              <w:overflowPunct w:val="0"/>
              <w:autoSpaceDE w:val="0"/>
              <w:autoSpaceDN w:val="0"/>
              <w:adjustRightInd w:val="0"/>
              <w:snapToGrid w:val="0"/>
              <w:jc w:val="center"/>
              <w:rPr>
                <w:sz w:val="21"/>
                <w:szCs w:val="21"/>
              </w:rPr>
            </w:pPr>
            <w:r>
              <w:rPr>
                <w:sz w:val="21"/>
                <w:szCs w:val="21"/>
              </w:rPr>
              <w:t>31 December 2024</w:t>
            </w:r>
          </w:p>
        </w:tc>
        <w:tc>
          <w:tcPr>
            <w:tcW w:w="668" w:type="pct"/>
            <w:vAlign w:val="center"/>
          </w:tcPr>
          <w:p w14:paraId="225A07C9" w14:textId="66BB95CA" w:rsidR="00B5705B" w:rsidRPr="00916B56" w:rsidRDefault="00345D31" w:rsidP="00345D31">
            <w:pPr>
              <w:kinsoku w:val="0"/>
              <w:overflowPunct w:val="0"/>
              <w:autoSpaceDE w:val="0"/>
              <w:autoSpaceDN w:val="0"/>
              <w:adjustRightInd w:val="0"/>
              <w:snapToGrid w:val="0"/>
              <w:jc w:val="center"/>
              <w:rPr>
                <w:sz w:val="21"/>
                <w:szCs w:val="21"/>
              </w:rPr>
            </w:pPr>
            <w:r w:rsidRPr="00FB6A89">
              <w:rPr>
                <w:szCs w:val="21"/>
              </w:rPr>
              <w:t>Change</w:t>
            </w:r>
            <w:r w:rsidR="00FB6A89">
              <w:rPr>
                <w:szCs w:val="21"/>
              </w:rPr>
              <w:t xml:space="preserve">(%) </w:t>
            </w:r>
          </w:p>
        </w:tc>
        <w:tc>
          <w:tcPr>
            <w:tcW w:w="1083" w:type="pct"/>
            <w:vAlign w:val="center"/>
          </w:tcPr>
          <w:p w14:paraId="72E97C23" w14:textId="09C945BA" w:rsidR="00B5705B" w:rsidRPr="00916B56" w:rsidRDefault="00B5705B" w:rsidP="00B5705B">
            <w:pPr>
              <w:kinsoku w:val="0"/>
              <w:overflowPunct w:val="0"/>
              <w:autoSpaceDE w:val="0"/>
              <w:autoSpaceDN w:val="0"/>
              <w:adjustRightInd w:val="0"/>
              <w:snapToGrid w:val="0"/>
              <w:jc w:val="center"/>
              <w:rPr>
                <w:sz w:val="21"/>
                <w:szCs w:val="21"/>
              </w:rPr>
            </w:pPr>
            <w:r w:rsidRPr="00916B56">
              <w:rPr>
                <w:sz w:val="21"/>
                <w:szCs w:val="21"/>
              </w:rPr>
              <w:t>3</w:t>
            </w:r>
            <w:r w:rsidR="00345D31">
              <w:rPr>
                <w:sz w:val="21"/>
                <w:szCs w:val="21"/>
              </w:rPr>
              <w:t>1 December 2023</w:t>
            </w:r>
          </w:p>
        </w:tc>
      </w:tr>
      <w:tr w:rsidR="00BB2AB2" w:rsidRPr="00916B56" w14:paraId="0A64C088" w14:textId="77777777" w:rsidTr="00C03552">
        <w:trPr>
          <w:trHeight w:val="285"/>
        </w:trPr>
        <w:tc>
          <w:tcPr>
            <w:tcW w:w="1082" w:type="pct"/>
          </w:tcPr>
          <w:p w14:paraId="4455E5F2" w14:textId="77777777" w:rsidR="00BB2AB2" w:rsidRPr="00916B56" w:rsidRDefault="00BB2AB2" w:rsidP="00BB2AB2">
            <w:pPr>
              <w:kinsoku w:val="0"/>
              <w:wordWrap w:val="0"/>
              <w:overflowPunct w:val="0"/>
              <w:autoSpaceDE w:val="0"/>
              <w:autoSpaceDN w:val="0"/>
              <w:adjustRightInd w:val="0"/>
              <w:snapToGrid w:val="0"/>
              <w:rPr>
                <w:sz w:val="21"/>
                <w:szCs w:val="21"/>
              </w:rPr>
            </w:pPr>
            <w:r w:rsidRPr="00916B56">
              <w:rPr>
                <w:sz w:val="21"/>
                <w:szCs w:val="21"/>
              </w:rPr>
              <w:t>Net assets attributable to shareholders of  the listed company</w:t>
            </w:r>
          </w:p>
        </w:tc>
        <w:tc>
          <w:tcPr>
            <w:tcW w:w="1084" w:type="pct"/>
            <w:vAlign w:val="center"/>
          </w:tcPr>
          <w:p w14:paraId="2E6349E3"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20,433,598,297.71</w:t>
            </w:r>
          </w:p>
        </w:tc>
        <w:tc>
          <w:tcPr>
            <w:tcW w:w="1083" w:type="pct"/>
            <w:vAlign w:val="center"/>
          </w:tcPr>
          <w:p w14:paraId="32165332" w14:textId="77777777" w:rsidR="00BB2AB2" w:rsidRPr="00916B56" w:rsidRDefault="00BB2AB2" w:rsidP="00BB2AB2">
            <w:pPr>
              <w:kinsoku w:val="0"/>
              <w:overflowPunct w:val="0"/>
              <w:autoSpaceDE w:val="0"/>
              <w:autoSpaceDN w:val="0"/>
              <w:adjustRightInd w:val="0"/>
              <w:snapToGrid w:val="0"/>
              <w:jc w:val="right"/>
              <w:rPr>
                <w:bCs/>
                <w:sz w:val="21"/>
                <w:szCs w:val="21"/>
              </w:rPr>
            </w:pPr>
            <w:r w:rsidRPr="00916B56">
              <w:rPr>
                <w:sz w:val="21"/>
                <w:szCs w:val="21"/>
              </w:rPr>
              <w:t>18,387,096,048.41</w:t>
            </w:r>
          </w:p>
        </w:tc>
        <w:tc>
          <w:tcPr>
            <w:tcW w:w="668" w:type="pct"/>
            <w:vAlign w:val="center"/>
          </w:tcPr>
          <w:p w14:paraId="1D8274D1"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11.13</w:t>
            </w:r>
          </w:p>
        </w:tc>
        <w:tc>
          <w:tcPr>
            <w:tcW w:w="1083" w:type="pct"/>
            <w:vAlign w:val="center"/>
          </w:tcPr>
          <w:p w14:paraId="30C82CA0"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17,774,487,767.57</w:t>
            </w:r>
          </w:p>
        </w:tc>
      </w:tr>
      <w:tr w:rsidR="00BB2AB2" w:rsidRPr="00916B56" w14:paraId="6D44678C" w14:textId="77777777" w:rsidTr="00C03552">
        <w:trPr>
          <w:trHeight w:val="285"/>
        </w:trPr>
        <w:tc>
          <w:tcPr>
            <w:tcW w:w="1082" w:type="pct"/>
          </w:tcPr>
          <w:p w14:paraId="563AE30B" w14:textId="77777777" w:rsidR="00BB2AB2" w:rsidRPr="00916B56" w:rsidRDefault="00BB2AB2" w:rsidP="00BB2AB2">
            <w:pPr>
              <w:kinsoku w:val="0"/>
              <w:overflowPunct w:val="0"/>
              <w:autoSpaceDE w:val="0"/>
              <w:autoSpaceDN w:val="0"/>
              <w:adjustRightInd w:val="0"/>
              <w:snapToGrid w:val="0"/>
              <w:rPr>
                <w:sz w:val="21"/>
                <w:szCs w:val="21"/>
              </w:rPr>
            </w:pPr>
            <w:r w:rsidRPr="00916B56">
              <w:rPr>
                <w:sz w:val="21"/>
                <w:szCs w:val="21"/>
              </w:rPr>
              <w:t>Total assets</w:t>
            </w:r>
          </w:p>
        </w:tc>
        <w:tc>
          <w:tcPr>
            <w:tcW w:w="1084" w:type="pct"/>
            <w:vAlign w:val="center"/>
          </w:tcPr>
          <w:p w14:paraId="2C24FB55"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46,270,705,774.50</w:t>
            </w:r>
          </w:p>
        </w:tc>
        <w:tc>
          <w:tcPr>
            <w:tcW w:w="1083" w:type="pct"/>
            <w:vAlign w:val="center"/>
          </w:tcPr>
          <w:p w14:paraId="21CAB9A8" w14:textId="77777777" w:rsidR="00BB2AB2" w:rsidRPr="00916B56" w:rsidRDefault="00BB2AB2" w:rsidP="00BB2AB2">
            <w:pPr>
              <w:kinsoku w:val="0"/>
              <w:overflowPunct w:val="0"/>
              <w:autoSpaceDE w:val="0"/>
              <w:autoSpaceDN w:val="0"/>
              <w:adjustRightInd w:val="0"/>
              <w:snapToGrid w:val="0"/>
              <w:jc w:val="right"/>
              <w:rPr>
                <w:bCs/>
                <w:sz w:val="21"/>
                <w:szCs w:val="21"/>
              </w:rPr>
            </w:pPr>
            <w:r w:rsidRPr="00916B56">
              <w:rPr>
                <w:sz w:val="21"/>
                <w:szCs w:val="21"/>
              </w:rPr>
              <w:t>42,103,555,050.29</w:t>
            </w:r>
          </w:p>
        </w:tc>
        <w:tc>
          <w:tcPr>
            <w:tcW w:w="668" w:type="pct"/>
            <w:vAlign w:val="center"/>
          </w:tcPr>
          <w:p w14:paraId="79412A55"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9.90</w:t>
            </w:r>
          </w:p>
        </w:tc>
        <w:tc>
          <w:tcPr>
            <w:tcW w:w="1083" w:type="pct"/>
            <w:vAlign w:val="center"/>
          </w:tcPr>
          <w:p w14:paraId="540209F2"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43,674,947,626.61</w:t>
            </w:r>
          </w:p>
        </w:tc>
      </w:tr>
    </w:tbl>
    <w:p w14:paraId="74454F81" w14:textId="77777777" w:rsidR="00915114" w:rsidRPr="00916B56" w:rsidRDefault="00915114" w:rsidP="00915114">
      <w:pPr>
        <w:rPr>
          <w:rFonts w:ascii="Times New Roman" w:hAnsi="Times New Roman" w:cs="Times New Roman"/>
          <w:szCs w:val="21"/>
          <w:lang w:val="en"/>
        </w:rPr>
      </w:pPr>
    </w:p>
    <w:p w14:paraId="22080C90" w14:textId="77777777" w:rsidR="00141B44" w:rsidRPr="00916B56" w:rsidRDefault="00915114" w:rsidP="00141B44">
      <w:pPr>
        <w:keepNext/>
        <w:keepLines/>
        <w:numPr>
          <w:ilvl w:val="1"/>
          <w:numId w:val="2"/>
        </w:numPr>
        <w:spacing w:before="60" w:after="60"/>
        <w:outlineLvl w:val="2"/>
        <w:rPr>
          <w:rFonts w:ascii="Times New Roman" w:eastAsia="宋体" w:hAnsi="Times New Roman" w:cs="Times New Roman"/>
          <w:b/>
          <w:bCs/>
          <w:kern w:val="0"/>
          <w:szCs w:val="21"/>
          <w:lang w:val="en"/>
        </w:rPr>
      </w:pPr>
      <w:r w:rsidRPr="00916B56">
        <w:rPr>
          <w:rFonts w:ascii="Times New Roman" w:eastAsia="宋体" w:hAnsi="Times New Roman" w:cs="Times New Roman"/>
          <w:b/>
          <w:bCs/>
          <w:kern w:val="0"/>
          <w:szCs w:val="21"/>
          <w:lang w:val="en"/>
        </w:rPr>
        <w:lastRenderedPageBreak/>
        <w:t>Key Financial Indicators</w:t>
      </w:r>
    </w:p>
    <w:p w14:paraId="29D6BE2A" w14:textId="77777777" w:rsidR="00141B44" w:rsidRPr="00916B56" w:rsidRDefault="00141B44" w:rsidP="00141B44">
      <w:pPr>
        <w:jc w:val="right"/>
        <w:rPr>
          <w:rFonts w:ascii="Times New Roman" w:eastAsia="宋体" w:hAnsi="Times New Roman" w:cs="Times New Roman"/>
          <w:bCs/>
          <w:kern w:val="0"/>
          <w:szCs w:val="21"/>
          <w:lang w:val="en"/>
        </w:rPr>
      </w:pPr>
      <w:r w:rsidRPr="00916B56">
        <w:rPr>
          <w:rFonts w:ascii="Times New Roman" w:eastAsia="宋体" w:hAnsi="Times New Roman" w:cs="Times New Roman"/>
          <w:bCs/>
          <w:kern w:val="0"/>
          <w:szCs w:val="21"/>
          <w:lang w:val="en"/>
        </w:rPr>
        <w:t>Unit: CNY</w:t>
      </w:r>
    </w:p>
    <w:tbl>
      <w:tblPr>
        <w:tblStyle w:val="1"/>
        <w:tblW w:w="5000" w:type="pct"/>
        <w:tblLook w:val="04A0" w:firstRow="1" w:lastRow="0" w:firstColumn="1" w:lastColumn="0" w:noHBand="0" w:noVBand="1"/>
      </w:tblPr>
      <w:tblGrid>
        <w:gridCol w:w="2930"/>
        <w:gridCol w:w="1067"/>
        <w:gridCol w:w="1067"/>
        <w:gridCol w:w="2399"/>
        <w:gridCol w:w="833"/>
      </w:tblGrid>
      <w:tr w:rsidR="00FD0F1A" w:rsidRPr="00916B56" w14:paraId="73575D57" w14:textId="77777777" w:rsidTr="0079560C">
        <w:tc>
          <w:tcPr>
            <w:tcW w:w="1766" w:type="pct"/>
            <w:vAlign w:val="center"/>
          </w:tcPr>
          <w:p w14:paraId="2E4A2089" w14:textId="77777777" w:rsidR="00915114" w:rsidRPr="00916B56" w:rsidRDefault="00915114" w:rsidP="00915114">
            <w:pPr>
              <w:kinsoku w:val="0"/>
              <w:overflowPunct w:val="0"/>
              <w:autoSpaceDE w:val="0"/>
              <w:autoSpaceDN w:val="0"/>
              <w:adjustRightInd w:val="0"/>
              <w:snapToGrid w:val="0"/>
              <w:jc w:val="center"/>
              <w:rPr>
                <w:sz w:val="21"/>
                <w:szCs w:val="21"/>
              </w:rPr>
            </w:pPr>
            <w:r w:rsidRPr="00916B56">
              <w:rPr>
                <w:sz w:val="21"/>
                <w:szCs w:val="21"/>
              </w:rPr>
              <w:t>Key Financial Indicators</w:t>
            </w:r>
          </w:p>
        </w:tc>
        <w:tc>
          <w:tcPr>
            <w:tcW w:w="643" w:type="pct"/>
            <w:vAlign w:val="center"/>
          </w:tcPr>
          <w:p w14:paraId="6CCEE1FD" w14:textId="77777777" w:rsidR="00915114" w:rsidRPr="00916B56" w:rsidRDefault="00BB2AB2" w:rsidP="00915114">
            <w:pPr>
              <w:kinsoku w:val="0"/>
              <w:overflowPunct w:val="0"/>
              <w:autoSpaceDE w:val="0"/>
              <w:autoSpaceDN w:val="0"/>
              <w:adjustRightInd w:val="0"/>
              <w:snapToGrid w:val="0"/>
              <w:jc w:val="center"/>
              <w:rPr>
                <w:sz w:val="21"/>
                <w:szCs w:val="21"/>
              </w:rPr>
            </w:pPr>
            <w:r w:rsidRPr="00916B56">
              <w:rPr>
                <w:sz w:val="21"/>
                <w:szCs w:val="21"/>
              </w:rPr>
              <w:t>2025</w:t>
            </w:r>
          </w:p>
        </w:tc>
        <w:tc>
          <w:tcPr>
            <w:tcW w:w="643" w:type="pct"/>
            <w:vAlign w:val="center"/>
          </w:tcPr>
          <w:p w14:paraId="57C085EB" w14:textId="77777777" w:rsidR="00915114" w:rsidRPr="00916B56" w:rsidRDefault="00BB2AB2" w:rsidP="00915114">
            <w:pPr>
              <w:kinsoku w:val="0"/>
              <w:overflowPunct w:val="0"/>
              <w:autoSpaceDE w:val="0"/>
              <w:autoSpaceDN w:val="0"/>
              <w:adjustRightInd w:val="0"/>
              <w:snapToGrid w:val="0"/>
              <w:jc w:val="center"/>
              <w:rPr>
                <w:sz w:val="21"/>
                <w:szCs w:val="21"/>
              </w:rPr>
            </w:pPr>
            <w:r w:rsidRPr="00916B56">
              <w:rPr>
                <w:sz w:val="21"/>
                <w:szCs w:val="21"/>
              </w:rPr>
              <w:t>2024</w:t>
            </w:r>
          </w:p>
        </w:tc>
        <w:tc>
          <w:tcPr>
            <w:tcW w:w="1446" w:type="pct"/>
            <w:vAlign w:val="center"/>
          </w:tcPr>
          <w:p w14:paraId="0FDE6E80" w14:textId="77777777" w:rsidR="00915114" w:rsidRPr="00916B56" w:rsidRDefault="00915114" w:rsidP="00915114">
            <w:pPr>
              <w:kinsoku w:val="0"/>
              <w:overflowPunct w:val="0"/>
              <w:autoSpaceDE w:val="0"/>
              <w:autoSpaceDN w:val="0"/>
              <w:adjustRightInd w:val="0"/>
              <w:snapToGrid w:val="0"/>
              <w:jc w:val="center"/>
              <w:rPr>
                <w:sz w:val="21"/>
                <w:szCs w:val="21"/>
              </w:rPr>
            </w:pPr>
            <w:r w:rsidRPr="00916B56">
              <w:rPr>
                <w:sz w:val="21"/>
                <w:szCs w:val="21"/>
              </w:rPr>
              <w:t>Change (%)</w:t>
            </w:r>
          </w:p>
        </w:tc>
        <w:tc>
          <w:tcPr>
            <w:tcW w:w="502" w:type="pct"/>
            <w:vAlign w:val="center"/>
          </w:tcPr>
          <w:p w14:paraId="6341EE14" w14:textId="77777777" w:rsidR="00915114" w:rsidRPr="00916B56" w:rsidRDefault="00BB2AB2" w:rsidP="00915114">
            <w:pPr>
              <w:kinsoku w:val="0"/>
              <w:overflowPunct w:val="0"/>
              <w:autoSpaceDE w:val="0"/>
              <w:autoSpaceDN w:val="0"/>
              <w:adjustRightInd w:val="0"/>
              <w:snapToGrid w:val="0"/>
              <w:jc w:val="center"/>
              <w:rPr>
                <w:sz w:val="21"/>
                <w:szCs w:val="21"/>
              </w:rPr>
            </w:pPr>
            <w:r w:rsidRPr="00916B56">
              <w:rPr>
                <w:sz w:val="21"/>
                <w:szCs w:val="21"/>
              </w:rPr>
              <w:t>2023</w:t>
            </w:r>
          </w:p>
        </w:tc>
      </w:tr>
      <w:tr w:rsidR="00BB2AB2" w:rsidRPr="00916B56" w14:paraId="59599F6E" w14:textId="77777777" w:rsidTr="0079560C">
        <w:tc>
          <w:tcPr>
            <w:tcW w:w="1766" w:type="pct"/>
            <w:vAlign w:val="center"/>
          </w:tcPr>
          <w:p w14:paraId="79A4B7E8" w14:textId="77777777" w:rsidR="00BB2AB2" w:rsidRPr="00916B56" w:rsidRDefault="00BB2AB2" w:rsidP="00BB2AB2">
            <w:pPr>
              <w:kinsoku w:val="0"/>
              <w:wordWrap w:val="0"/>
              <w:overflowPunct w:val="0"/>
              <w:autoSpaceDE w:val="0"/>
              <w:autoSpaceDN w:val="0"/>
              <w:adjustRightInd w:val="0"/>
              <w:snapToGrid w:val="0"/>
              <w:rPr>
                <w:sz w:val="21"/>
                <w:szCs w:val="21"/>
              </w:rPr>
            </w:pPr>
            <w:bookmarkStart w:id="5" w:name="_Hlk199242484"/>
            <w:r w:rsidRPr="00916B56">
              <w:rPr>
                <w:sz w:val="21"/>
                <w:szCs w:val="21"/>
              </w:rPr>
              <w:t>Basic earnings per share (CNY/share)</w:t>
            </w:r>
          </w:p>
        </w:tc>
        <w:tc>
          <w:tcPr>
            <w:tcW w:w="643" w:type="pct"/>
            <w:vAlign w:val="center"/>
          </w:tcPr>
          <w:p w14:paraId="3F302F4D"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1.12</w:t>
            </w:r>
          </w:p>
        </w:tc>
        <w:tc>
          <w:tcPr>
            <w:tcW w:w="643" w:type="pct"/>
            <w:vAlign w:val="center"/>
          </w:tcPr>
          <w:p w14:paraId="369365BB"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0.56</w:t>
            </w:r>
          </w:p>
        </w:tc>
        <w:tc>
          <w:tcPr>
            <w:tcW w:w="1446" w:type="pct"/>
            <w:vAlign w:val="center"/>
          </w:tcPr>
          <w:p w14:paraId="4FB278B8"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100.00</w:t>
            </w:r>
          </w:p>
        </w:tc>
        <w:tc>
          <w:tcPr>
            <w:tcW w:w="502" w:type="pct"/>
            <w:vAlign w:val="center"/>
          </w:tcPr>
          <w:p w14:paraId="0CCE171E"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0.95</w:t>
            </w:r>
          </w:p>
        </w:tc>
      </w:tr>
      <w:tr w:rsidR="00BB2AB2" w:rsidRPr="00916B56" w14:paraId="79D8BBD7" w14:textId="77777777" w:rsidTr="0079560C">
        <w:tc>
          <w:tcPr>
            <w:tcW w:w="1766" w:type="pct"/>
            <w:vAlign w:val="center"/>
          </w:tcPr>
          <w:p w14:paraId="5E462E61" w14:textId="77777777" w:rsidR="00BB2AB2" w:rsidRPr="00916B56" w:rsidRDefault="00BB2AB2" w:rsidP="00BB2AB2">
            <w:pPr>
              <w:kinsoku w:val="0"/>
              <w:wordWrap w:val="0"/>
              <w:overflowPunct w:val="0"/>
              <w:autoSpaceDE w:val="0"/>
              <w:autoSpaceDN w:val="0"/>
              <w:adjustRightInd w:val="0"/>
              <w:snapToGrid w:val="0"/>
              <w:rPr>
                <w:sz w:val="21"/>
                <w:szCs w:val="21"/>
              </w:rPr>
            </w:pPr>
            <w:r w:rsidRPr="00916B56">
              <w:rPr>
                <w:sz w:val="21"/>
                <w:szCs w:val="21"/>
              </w:rPr>
              <w:t>Diluted earnings per share (CNY/share)</w:t>
            </w:r>
          </w:p>
        </w:tc>
        <w:tc>
          <w:tcPr>
            <w:tcW w:w="643" w:type="pct"/>
            <w:vAlign w:val="center"/>
          </w:tcPr>
          <w:p w14:paraId="456E1CE6"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1.12</w:t>
            </w:r>
          </w:p>
        </w:tc>
        <w:tc>
          <w:tcPr>
            <w:tcW w:w="643" w:type="pct"/>
            <w:vAlign w:val="center"/>
          </w:tcPr>
          <w:p w14:paraId="2C577F58"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0.56</w:t>
            </w:r>
          </w:p>
        </w:tc>
        <w:tc>
          <w:tcPr>
            <w:tcW w:w="1446" w:type="pct"/>
            <w:vAlign w:val="center"/>
          </w:tcPr>
          <w:p w14:paraId="33BD1A00"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100.00</w:t>
            </w:r>
          </w:p>
        </w:tc>
        <w:tc>
          <w:tcPr>
            <w:tcW w:w="502" w:type="pct"/>
            <w:vAlign w:val="center"/>
          </w:tcPr>
          <w:p w14:paraId="789B5354"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0.94</w:t>
            </w:r>
          </w:p>
        </w:tc>
      </w:tr>
      <w:tr w:rsidR="00BB2AB2" w:rsidRPr="00916B56" w14:paraId="6F21A888" w14:textId="77777777" w:rsidTr="0079560C">
        <w:tc>
          <w:tcPr>
            <w:tcW w:w="1766" w:type="pct"/>
            <w:vAlign w:val="center"/>
          </w:tcPr>
          <w:p w14:paraId="0AAB30E7" w14:textId="77777777" w:rsidR="00BB2AB2" w:rsidRPr="00916B56" w:rsidRDefault="00BB2AB2" w:rsidP="00BB2AB2">
            <w:pPr>
              <w:kinsoku w:val="0"/>
              <w:wordWrap w:val="0"/>
              <w:overflowPunct w:val="0"/>
              <w:autoSpaceDE w:val="0"/>
              <w:autoSpaceDN w:val="0"/>
              <w:adjustRightInd w:val="0"/>
              <w:snapToGrid w:val="0"/>
              <w:rPr>
                <w:sz w:val="21"/>
                <w:szCs w:val="21"/>
              </w:rPr>
            </w:pPr>
            <w:r w:rsidRPr="00916B56">
              <w:rPr>
                <w:sz w:val="21"/>
                <w:szCs w:val="21"/>
              </w:rPr>
              <w:t>Basic earnings per share after deducting non-recurring gains and losses (CNY/share)</w:t>
            </w:r>
          </w:p>
        </w:tc>
        <w:tc>
          <w:tcPr>
            <w:tcW w:w="643" w:type="pct"/>
            <w:vAlign w:val="center"/>
          </w:tcPr>
          <w:p w14:paraId="647FC2E4"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1.06</w:t>
            </w:r>
          </w:p>
        </w:tc>
        <w:tc>
          <w:tcPr>
            <w:tcW w:w="643" w:type="pct"/>
            <w:vAlign w:val="center"/>
          </w:tcPr>
          <w:p w14:paraId="14648EC8"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0.50</w:t>
            </w:r>
          </w:p>
        </w:tc>
        <w:tc>
          <w:tcPr>
            <w:tcW w:w="1446" w:type="pct"/>
            <w:vAlign w:val="center"/>
          </w:tcPr>
          <w:p w14:paraId="70C63BFC"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112.00</w:t>
            </w:r>
          </w:p>
        </w:tc>
        <w:tc>
          <w:tcPr>
            <w:tcW w:w="502" w:type="pct"/>
            <w:vAlign w:val="center"/>
          </w:tcPr>
          <w:p w14:paraId="7FF82EA0"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0.88</w:t>
            </w:r>
          </w:p>
        </w:tc>
      </w:tr>
      <w:tr w:rsidR="00BB2AB2" w:rsidRPr="00916B56" w14:paraId="42EADADD" w14:textId="77777777" w:rsidTr="0079560C">
        <w:tc>
          <w:tcPr>
            <w:tcW w:w="1766" w:type="pct"/>
            <w:vAlign w:val="center"/>
          </w:tcPr>
          <w:p w14:paraId="794B65B6" w14:textId="77777777" w:rsidR="00BB2AB2" w:rsidRPr="00916B56" w:rsidRDefault="00BB2AB2" w:rsidP="00BB2AB2">
            <w:pPr>
              <w:kinsoku w:val="0"/>
              <w:overflowPunct w:val="0"/>
              <w:autoSpaceDE w:val="0"/>
              <w:autoSpaceDN w:val="0"/>
              <w:adjustRightInd w:val="0"/>
              <w:snapToGrid w:val="0"/>
              <w:rPr>
                <w:sz w:val="21"/>
                <w:szCs w:val="21"/>
              </w:rPr>
            </w:pPr>
            <w:r w:rsidRPr="00916B56">
              <w:rPr>
                <w:sz w:val="21"/>
                <w:szCs w:val="21"/>
              </w:rPr>
              <w:t>Weighted average ROE (%)</w:t>
            </w:r>
          </w:p>
        </w:tc>
        <w:tc>
          <w:tcPr>
            <w:tcW w:w="643" w:type="pct"/>
            <w:vAlign w:val="center"/>
          </w:tcPr>
          <w:p w14:paraId="5C89DE24"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12.15</w:t>
            </w:r>
          </w:p>
        </w:tc>
        <w:tc>
          <w:tcPr>
            <w:tcW w:w="643" w:type="pct"/>
            <w:vAlign w:val="center"/>
          </w:tcPr>
          <w:p w14:paraId="301C01FE"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6.57</w:t>
            </w:r>
          </w:p>
        </w:tc>
        <w:tc>
          <w:tcPr>
            <w:tcW w:w="1446" w:type="pct"/>
            <w:vAlign w:val="center"/>
          </w:tcPr>
          <w:p w14:paraId="3D852ADD"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+5.58</w:t>
            </w:r>
          </w:p>
        </w:tc>
        <w:tc>
          <w:tcPr>
            <w:tcW w:w="502" w:type="pct"/>
            <w:vAlign w:val="center"/>
          </w:tcPr>
          <w:p w14:paraId="38CA45F7"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13.27</w:t>
            </w:r>
          </w:p>
        </w:tc>
      </w:tr>
      <w:tr w:rsidR="00BB2AB2" w:rsidRPr="00916B56" w14:paraId="6E238BE1" w14:textId="77777777" w:rsidTr="0079560C">
        <w:tc>
          <w:tcPr>
            <w:tcW w:w="1766" w:type="pct"/>
            <w:vAlign w:val="center"/>
          </w:tcPr>
          <w:p w14:paraId="46DB2AB9" w14:textId="77777777" w:rsidR="00BB2AB2" w:rsidRPr="00916B56" w:rsidRDefault="00BB2AB2" w:rsidP="00BB2AB2">
            <w:pPr>
              <w:kinsoku w:val="0"/>
              <w:wordWrap w:val="0"/>
              <w:overflowPunct w:val="0"/>
              <w:autoSpaceDE w:val="0"/>
              <w:autoSpaceDN w:val="0"/>
              <w:adjustRightInd w:val="0"/>
              <w:snapToGrid w:val="0"/>
              <w:rPr>
                <w:sz w:val="21"/>
                <w:szCs w:val="21"/>
              </w:rPr>
            </w:pPr>
            <w:r w:rsidRPr="00916B56">
              <w:rPr>
                <w:sz w:val="21"/>
                <w:szCs w:val="21"/>
              </w:rPr>
              <w:t>Weighted average ROE after deducting non-recurring gains and losses (%)</w:t>
            </w:r>
          </w:p>
        </w:tc>
        <w:tc>
          <w:tcPr>
            <w:tcW w:w="643" w:type="pct"/>
            <w:vAlign w:val="center"/>
          </w:tcPr>
          <w:p w14:paraId="6102DE43"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11.43</w:t>
            </w:r>
          </w:p>
        </w:tc>
        <w:tc>
          <w:tcPr>
            <w:tcW w:w="643" w:type="pct"/>
            <w:vAlign w:val="center"/>
          </w:tcPr>
          <w:p w14:paraId="46158F20"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5.87</w:t>
            </w:r>
          </w:p>
        </w:tc>
        <w:tc>
          <w:tcPr>
            <w:tcW w:w="1446" w:type="pct"/>
            <w:vAlign w:val="center"/>
          </w:tcPr>
          <w:p w14:paraId="44208FD9"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+5.56</w:t>
            </w:r>
          </w:p>
        </w:tc>
        <w:tc>
          <w:tcPr>
            <w:tcW w:w="502" w:type="pct"/>
            <w:vAlign w:val="center"/>
          </w:tcPr>
          <w:p w14:paraId="303B4DC7" w14:textId="77777777" w:rsidR="00BB2AB2" w:rsidRPr="00916B56" w:rsidRDefault="00BB2AB2" w:rsidP="00BB2AB2">
            <w:pPr>
              <w:kinsoku w:val="0"/>
              <w:overflowPunct w:val="0"/>
              <w:autoSpaceDE w:val="0"/>
              <w:autoSpaceDN w:val="0"/>
              <w:adjustRightInd w:val="0"/>
              <w:snapToGrid w:val="0"/>
              <w:jc w:val="right"/>
              <w:rPr>
                <w:sz w:val="21"/>
                <w:szCs w:val="21"/>
              </w:rPr>
            </w:pPr>
            <w:r w:rsidRPr="00916B56">
              <w:rPr>
                <w:sz w:val="21"/>
                <w:szCs w:val="21"/>
              </w:rPr>
              <w:t>12.36</w:t>
            </w:r>
          </w:p>
        </w:tc>
      </w:tr>
    </w:tbl>
    <w:p w14:paraId="64BA269B" w14:textId="77777777" w:rsidR="00915114" w:rsidRPr="00916B56" w:rsidRDefault="00915114" w:rsidP="00CC71BF">
      <w:pPr>
        <w:keepNext/>
        <w:keepLines/>
        <w:numPr>
          <w:ilvl w:val="1"/>
          <w:numId w:val="1"/>
        </w:numPr>
        <w:spacing w:before="60" w:after="60" w:line="360" w:lineRule="auto"/>
        <w:ind w:left="498" w:hangingChars="236" w:hanging="498"/>
        <w:outlineLvl w:val="1"/>
        <w:rPr>
          <w:rFonts w:ascii="Times New Roman" w:eastAsia="宋体" w:hAnsi="Times New Roman" w:cs="Times New Roman"/>
          <w:b/>
          <w:bCs/>
          <w:szCs w:val="21"/>
          <w:lang w:val="en"/>
        </w:rPr>
      </w:pPr>
      <w:bookmarkStart w:id="6" w:name="OLE_LINK12"/>
      <w:bookmarkEnd w:id="5"/>
      <w:r w:rsidRPr="00916B56">
        <w:rPr>
          <w:rFonts w:ascii="Times New Roman" w:eastAsia="宋体" w:hAnsi="Times New Roman" w:cs="Times New Roman"/>
          <w:b/>
          <w:bCs/>
          <w:szCs w:val="21"/>
          <w:lang w:val="en"/>
        </w:rPr>
        <w:t>Discussion and Analysis of Business Situation</w:t>
      </w:r>
      <w:r w:rsidR="005D0509" w:rsidRPr="00916B56">
        <w:rPr>
          <w:rFonts w:ascii="Times New Roman" w:eastAsia="宋体" w:hAnsi="Times New Roman" w:cs="Times New Roman"/>
          <w:b/>
          <w:bCs/>
          <w:szCs w:val="21"/>
          <w:lang w:val="en"/>
        </w:rPr>
        <w:t xml:space="preserve"> Operations</w:t>
      </w:r>
    </w:p>
    <w:bookmarkEnd w:id="6"/>
    <w:p w14:paraId="5467E97D" w14:textId="77777777" w:rsidR="00E63A80" w:rsidRPr="00916B56" w:rsidRDefault="00E63A80" w:rsidP="00CC71BF">
      <w:pPr>
        <w:spacing w:line="360" w:lineRule="auto"/>
        <w:rPr>
          <w:rFonts w:ascii="Times New Roman" w:hAnsi="Times New Roman" w:cs="Times New Roman"/>
          <w:b/>
          <w:szCs w:val="21"/>
        </w:rPr>
      </w:pPr>
      <w:r w:rsidRPr="00916B56">
        <w:rPr>
          <w:rFonts w:ascii="Times New Roman" w:hAnsi="Times New Roman" w:cs="Times New Roman"/>
          <w:b/>
          <w:szCs w:val="21"/>
        </w:rPr>
        <w:t>I. Business Operations of the Company during the Reporting Period</w:t>
      </w:r>
    </w:p>
    <w:p w14:paraId="317550CE" w14:textId="7777777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1. Core Business</w:t>
      </w:r>
    </w:p>
    <w:p w14:paraId="2555FC70" w14:textId="46F353AB" w:rsidR="009F07BB" w:rsidRPr="00AB7BC5" w:rsidRDefault="00E63A80" w:rsidP="00AB7BC5">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The Company is a comprehensive solution provider and platform-based enterpr</w:t>
      </w:r>
      <w:r w:rsidR="00896D0C" w:rsidRPr="00916B56">
        <w:rPr>
          <w:rFonts w:ascii="Times New Roman" w:hAnsi="Times New Roman" w:cs="Times New Roman"/>
          <w:szCs w:val="21"/>
        </w:rPr>
        <w:t xml:space="preserve">ise </w:t>
      </w:r>
      <w:r w:rsidR="009C372A" w:rsidRPr="00916B56">
        <w:rPr>
          <w:rFonts w:ascii="Times New Roman" w:hAnsi="Times New Roman" w:cs="Times New Roman" w:hint="eastAsia"/>
          <w:szCs w:val="21"/>
        </w:rPr>
        <w:t xml:space="preserve">focusing on </w:t>
      </w:r>
      <w:r w:rsidR="00896D0C" w:rsidRPr="00916B56">
        <w:rPr>
          <w:rFonts w:ascii="Times New Roman" w:hAnsi="Times New Roman" w:cs="Times New Roman"/>
          <w:szCs w:val="21"/>
        </w:rPr>
        <w:t>key materials, automation</w:t>
      </w:r>
      <w:r w:rsidRPr="00916B56">
        <w:rPr>
          <w:rFonts w:ascii="Times New Roman" w:hAnsi="Times New Roman" w:cs="Times New Roman"/>
          <w:szCs w:val="21"/>
        </w:rPr>
        <w:t xml:space="preserve"> equipment and process technologies for new energy batteries. It is mainly engaged in the R&amp;D, production and sales of new energy battery materials and automat</w:t>
      </w:r>
      <w:r w:rsidR="00896D0C" w:rsidRPr="00916B56">
        <w:rPr>
          <w:rFonts w:ascii="Times New Roman" w:hAnsi="Times New Roman" w:cs="Times New Roman"/>
          <w:szCs w:val="21"/>
        </w:rPr>
        <w:t>ion</w:t>
      </w:r>
      <w:r w:rsidRPr="00916B56">
        <w:rPr>
          <w:rFonts w:ascii="Times New Roman" w:hAnsi="Times New Roman" w:cs="Times New Roman"/>
          <w:szCs w:val="21"/>
        </w:rPr>
        <w:t xml:space="preserve"> equipment, </w:t>
      </w:r>
      <w:r w:rsidR="009F07BB" w:rsidRPr="00916B56">
        <w:rPr>
          <w:rFonts w:ascii="Times New Roman" w:hAnsi="Times New Roman" w:cs="Times New Roman" w:hint="eastAsia"/>
          <w:szCs w:val="21"/>
        </w:rPr>
        <w:t>as well as the provision of electrode sheet contract manufacturing services for customers.</w:t>
      </w:r>
      <w:r w:rsidR="00AB7BC5">
        <w:rPr>
          <w:rFonts w:ascii="Times New Roman" w:hAnsi="Times New Roman" w:cs="Times New Roman" w:hint="eastAsia"/>
          <w:szCs w:val="21"/>
        </w:rPr>
        <w:t xml:space="preserve"> </w:t>
      </w:r>
      <w:r w:rsidR="009F07BB" w:rsidRPr="00916B56">
        <w:rPr>
          <w:rFonts w:ascii="Times New Roman" w:hAnsi="Times New Roman" w:cs="Times New Roman" w:hint="eastAsia"/>
          <w:szCs w:val="21"/>
        </w:rPr>
        <w:t>Its c</w:t>
      </w:r>
      <w:r w:rsidR="00AB7BC5">
        <w:rPr>
          <w:rFonts w:ascii="Times New Roman" w:hAnsi="Times New Roman" w:cs="Times New Roman" w:hint="eastAsia"/>
          <w:szCs w:val="21"/>
        </w:rPr>
        <w:t>ore business portfolio includes</w:t>
      </w:r>
      <w:r w:rsidR="00AB7BC5">
        <w:rPr>
          <w:rFonts w:ascii="Times New Roman" w:hAnsi="Times New Roman" w:cs="Times New Roman"/>
          <w:szCs w:val="21"/>
        </w:rPr>
        <w:t xml:space="preserve"> </w:t>
      </w:r>
      <w:r w:rsidR="009F07BB" w:rsidRPr="00AB7BC5">
        <w:rPr>
          <w:rFonts w:ascii="Times New Roman" w:hAnsi="Times New Roman" w:cs="Times New Roman" w:hint="eastAsia"/>
          <w:szCs w:val="21"/>
        </w:rPr>
        <w:t>Separator materials and coating</w:t>
      </w:r>
      <w:r w:rsidR="00AB7BC5">
        <w:rPr>
          <w:rFonts w:ascii="Times New Roman" w:hAnsi="Times New Roman" w:cs="Times New Roman" w:hint="eastAsia"/>
          <w:szCs w:val="21"/>
        </w:rPr>
        <w:t>、</w:t>
      </w:r>
      <w:r w:rsidR="009F07BB" w:rsidRPr="00AB7BC5">
        <w:rPr>
          <w:rFonts w:ascii="Times New Roman" w:hAnsi="Times New Roman" w:cs="Times New Roman" w:hint="eastAsia"/>
          <w:szCs w:val="21"/>
        </w:rPr>
        <w:t>Key materials such as anode materials</w:t>
      </w:r>
      <w:r w:rsidR="00AB7BC5">
        <w:rPr>
          <w:rFonts w:ascii="Times New Roman" w:hAnsi="Times New Roman" w:cs="Times New Roman" w:hint="eastAsia"/>
          <w:szCs w:val="21"/>
        </w:rPr>
        <w:t>、</w:t>
      </w:r>
      <w:r w:rsidR="009F07BB" w:rsidRPr="00AB7BC5">
        <w:rPr>
          <w:rFonts w:ascii="Times New Roman" w:hAnsi="Times New Roman" w:cs="Times New Roman" w:hint="eastAsia"/>
          <w:szCs w:val="21"/>
        </w:rPr>
        <w:t xml:space="preserve">Functional materials including </w:t>
      </w:r>
      <w:proofErr w:type="spellStart"/>
      <w:r w:rsidR="009F07BB" w:rsidRPr="00AB7BC5">
        <w:rPr>
          <w:rFonts w:ascii="Times New Roman" w:hAnsi="Times New Roman" w:cs="Times New Roman" w:hint="eastAsia"/>
          <w:szCs w:val="21"/>
        </w:rPr>
        <w:t>polyvinylidene</w:t>
      </w:r>
      <w:proofErr w:type="spellEnd"/>
      <w:r w:rsidR="009F07BB" w:rsidRPr="00AB7BC5">
        <w:rPr>
          <w:rFonts w:ascii="Times New Roman" w:hAnsi="Times New Roman" w:cs="Times New Roman" w:hint="eastAsia"/>
          <w:szCs w:val="21"/>
        </w:rPr>
        <w:t xml:space="preserve"> fluoride (PVDF) and binders</w:t>
      </w:r>
      <w:r w:rsidR="00AB7BC5">
        <w:rPr>
          <w:rFonts w:ascii="Times New Roman" w:hAnsi="Times New Roman" w:cs="Times New Roman" w:hint="eastAsia"/>
          <w:szCs w:val="21"/>
        </w:rPr>
        <w:t>、</w:t>
      </w:r>
      <w:r w:rsidR="00324D56" w:rsidRPr="00AB7BC5">
        <w:rPr>
          <w:rFonts w:ascii="Times New Roman" w:hAnsi="Times New Roman" w:cs="Times New Roman" w:hint="eastAsia"/>
          <w:szCs w:val="21"/>
        </w:rPr>
        <w:t xml:space="preserve">Alumina and </w:t>
      </w:r>
      <w:proofErr w:type="spellStart"/>
      <w:r w:rsidR="00324D56" w:rsidRPr="00AB7BC5">
        <w:rPr>
          <w:rFonts w:ascii="Times New Roman" w:hAnsi="Times New Roman" w:cs="Times New Roman"/>
          <w:szCs w:val="21"/>
        </w:rPr>
        <w:t>B</w:t>
      </w:r>
      <w:r w:rsidR="009F07BB" w:rsidRPr="00AB7BC5">
        <w:rPr>
          <w:rFonts w:ascii="Times New Roman" w:hAnsi="Times New Roman" w:cs="Times New Roman" w:hint="eastAsia"/>
          <w:szCs w:val="21"/>
        </w:rPr>
        <w:t>oehmite</w:t>
      </w:r>
      <w:proofErr w:type="spellEnd"/>
      <w:r w:rsidR="00AB7BC5">
        <w:rPr>
          <w:rFonts w:ascii="Times New Roman" w:hAnsi="Times New Roman" w:cs="Times New Roman" w:hint="eastAsia"/>
          <w:szCs w:val="21"/>
        </w:rPr>
        <w:t xml:space="preserve"> and</w:t>
      </w:r>
      <w:r w:rsidR="00AB7BC5">
        <w:rPr>
          <w:rFonts w:ascii="Times New Roman" w:hAnsi="Times New Roman" w:cs="Times New Roman"/>
          <w:szCs w:val="21"/>
        </w:rPr>
        <w:t xml:space="preserve"> </w:t>
      </w:r>
      <w:r w:rsidR="009F07BB" w:rsidRPr="00AB7BC5">
        <w:rPr>
          <w:rFonts w:ascii="Times New Roman" w:hAnsi="Times New Roman" w:cs="Times New Roman" w:hint="eastAsia"/>
          <w:szCs w:val="21"/>
        </w:rPr>
        <w:t>Automation equipment and integrated services for new energy batteries</w:t>
      </w:r>
    </w:p>
    <w:p w14:paraId="156B0A37" w14:textId="7777777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2. Business Model</w:t>
      </w:r>
    </w:p>
    <w:p w14:paraId="09298C08" w14:textId="59D7D7DE" w:rsidR="009F07BB" w:rsidRPr="00916B56" w:rsidRDefault="0075599E"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(1) Procurement Model</w:t>
      </w:r>
    </w:p>
    <w:p w14:paraId="064CE7E6" w14:textId="406B3A38" w:rsidR="009F07BB" w:rsidRPr="00916B56" w:rsidRDefault="009F07BB"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The Company</w:t>
      </w:r>
      <w:proofErr w:type="gramStart"/>
      <w:r w:rsidRPr="00916B56">
        <w:rPr>
          <w:rFonts w:ascii="Times New Roman" w:hAnsi="Times New Roman" w:cs="Times New Roman" w:hint="eastAsia"/>
          <w:szCs w:val="21"/>
        </w:rPr>
        <w:t>’</w:t>
      </w:r>
      <w:proofErr w:type="gramEnd"/>
      <w:r w:rsidRPr="00916B56">
        <w:rPr>
          <w:rFonts w:ascii="Times New Roman" w:hAnsi="Times New Roman" w:cs="Times New Roman" w:hint="eastAsia"/>
          <w:szCs w:val="21"/>
        </w:rPr>
        <w:t>s procurement activities are executed by the procurement departments of its subsidiaries based on their respective operational needs. Through the establishment and continuous optimization of its supply chain management system, the Company conducts multi-dimensional evaluations of suppliers, covering R&amp;D capabilities, qualifications, quality management systems, and sample design and validation capabilities.</w:t>
      </w:r>
    </w:p>
    <w:p w14:paraId="1AC8C65B" w14:textId="3ABEF3E6" w:rsidR="009F07BB" w:rsidRPr="00916B56" w:rsidRDefault="009F07BB"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For suppliers involving chemical materials, the Company strictly reviews key criteria, including quality and environmental management system certifications, Material Safety Data Sheet (MSDS) compliance, China National Accreditation Service for Conformity Assessment (CNAS) certification, and Restriction of Hazardous Substances (RoHS) environmental testing reports. This ensures both the stability and quality of raw material supply while guaranteeing compliance with safety, health, and environmental protection requirements.</w:t>
      </w:r>
    </w:p>
    <w:p w14:paraId="66BD56D6" w14:textId="5D13037C" w:rsidR="009F07BB" w:rsidRPr="00916B56" w:rsidRDefault="009F07BB"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Standard raw materials and equipment components are procured through selective procurement procedures. For non-standard customized components required in the automation equipment business, procurement is conducted through inquiry-based processes with qualified suppliers based on design specifications and technical requirements.</w:t>
      </w:r>
    </w:p>
    <w:p w14:paraId="59D1F8CE" w14:textId="2521CD0F" w:rsidR="009F07BB" w:rsidRPr="00916B56" w:rsidRDefault="009F07BB"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In addition, the Company has progressively incorporated social and environmental criteria into supplier management, strengthening long-term strategic partnerships and promoting sustainable development across the supply chain.</w:t>
      </w:r>
    </w:p>
    <w:p w14:paraId="11F360E1" w14:textId="77777777"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(2) Production Model</w:t>
      </w:r>
    </w:p>
    <w:p w14:paraId="4D2FCEAA" w14:textId="77777777" w:rsidR="00FA607F" w:rsidRPr="00916B56" w:rsidRDefault="00FA607F"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 xml:space="preserve">The Company adopts a production model characterized by </w:t>
      </w:r>
      <w:r w:rsidRPr="00916B56">
        <w:rPr>
          <w:rFonts w:ascii="Times New Roman" w:hAnsi="Times New Roman" w:cs="Times New Roman" w:hint="eastAsia"/>
          <w:i/>
          <w:iCs/>
          <w:szCs w:val="21"/>
        </w:rPr>
        <w:t>“</w:t>
      </w:r>
      <w:r w:rsidRPr="00916B56">
        <w:rPr>
          <w:rFonts w:ascii="Times New Roman" w:hAnsi="Times New Roman" w:cs="Times New Roman" w:hint="eastAsia"/>
          <w:i/>
          <w:iCs/>
          <w:szCs w:val="21"/>
        </w:rPr>
        <w:t>production based on orders, supplemented by moderate inventory based on market forecasts</w:t>
      </w:r>
      <w:r w:rsidRPr="00916B56">
        <w:rPr>
          <w:rFonts w:ascii="Times New Roman" w:hAnsi="Times New Roman" w:cs="Times New Roman" w:hint="eastAsia"/>
          <w:i/>
          <w:iCs/>
          <w:szCs w:val="21"/>
        </w:rPr>
        <w:t>”</w:t>
      </w:r>
      <w:r w:rsidRPr="00916B56">
        <w:rPr>
          <w:rFonts w:ascii="Times New Roman" w:hAnsi="Times New Roman" w:cs="Times New Roman" w:hint="eastAsia"/>
          <w:szCs w:val="21"/>
        </w:rPr>
        <w:t xml:space="preserve"> for products including base separator films, coated separators, composite current collectors, aluminum-plastic packaging films, anode materials, PVDF and binders, as well as alumina and </w:t>
      </w:r>
      <w:proofErr w:type="spellStart"/>
      <w:r w:rsidRPr="00916B56">
        <w:rPr>
          <w:rFonts w:ascii="Times New Roman" w:hAnsi="Times New Roman" w:cs="Times New Roman" w:hint="eastAsia"/>
          <w:szCs w:val="21"/>
        </w:rPr>
        <w:t>boehmite</w:t>
      </w:r>
      <w:proofErr w:type="spellEnd"/>
      <w:r w:rsidRPr="00916B56">
        <w:rPr>
          <w:rFonts w:ascii="Times New Roman" w:hAnsi="Times New Roman" w:cs="Times New Roman" w:hint="eastAsia"/>
          <w:szCs w:val="21"/>
        </w:rPr>
        <w:t>.</w:t>
      </w:r>
    </w:p>
    <w:p w14:paraId="123F09C7" w14:textId="3E1832AA" w:rsidR="00FA607F" w:rsidRPr="00916B56" w:rsidRDefault="00FA607F"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 xml:space="preserve">For the automation equipment business, the Company follows a </w:t>
      </w:r>
      <w:r w:rsidRPr="00916B56">
        <w:rPr>
          <w:rFonts w:ascii="Times New Roman" w:hAnsi="Times New Roman" w:cs="Times New Roman" w:hint="eastAsia"/>
          <w:i/>
          <w:iCs/>
          <w:szCs w:val="21"/>
        </w:rPr>
        <w:t>“</w:t>
      </w:r>
      <w:r w:rsidRPr="00916B56">
        <w:rPr>
          <w:rFonts w:ascii="Times New Roman" w:hAnsi="Times New Roman" w:cs="Times New Roman" w:hint="eastAsia"/>
          <w:i/>
          <w:iCs/>
          <w:szCs w:val="21"/>
        </w:rPr>
        <w:t>production based on sales orders</w:t>
      </w:r>
      <w:r w:rsidRPr="00916B56">
        <w:rPr>
          <w:rFonts w:ascii="Times New Roman" w:hAnsi="Times New Roman" w:cs="Times New Roman" w:hint="eastAsia"/>
          <w:i/>
          <w:iCs/>
          <w:szCs w:val="21"/>
        </w:rPr>
        <w:t>”</w:t>
      </w:r>
      <w:r w:rsidRPr="00916B56">
        <w:rPr>
          <w:rFonts w:ascii="Times New Roman" w:hAnsi="Times New Roman" w:cs="Times New Roman" w:hint="eastAsia"/>
          <w:i/>
          <w:iCs/>
          <w:szCs w:val="21"/>
        </w:rPr>
        <w:t xml:space="preserve"> </w:t>
      </w:r>
      <w:r w:rsidRPr="00916B56">
        <w:rPr>
          <w:rFonts w:ascii="Times New Roman" w:hAnsi="Times New Roman" w:cs="Times New Roman" w:hint="eastAsia"/>
          <w:szCs w:val="21"/>
        </w:rPr>
        <w:t>model. Based on specific customer requirements and application scenarios, PTL provides customized system solutions, integrates self-manufactured key components with outsourced non-core components, and delivers complete equipment along with proprietary software system integration.</w:t>
      </w:r>
    </w:p>
    <w:p w14:paraId="4437B53F" w14:textId="77777777"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(3) Sales Model</w:t>
      </w:r>
    </w:p>
    <w:p w14:paraId="207FC8D1" w14:textId="3609FE53" w:rsidR="00E63A80" w:rsidRPr="00916B56" w:rsidRDefault="00FA607F" w:rsidP="00324D56">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The Company primarily adopts a direct sales model led by the sales department, with strong support from R&amp;D, quality assurance, and process technology teams. Through strategic partnerships, joint R&amp;D, product customization, and technical services, PTL establishes long-term and stable cooperative relationships with downstream customers.</w:t>
      </w:r>
    </w:p>
    <w:p w14:paraId="6147BEB5" w14:textId="33BDA9DD" w:rsidR="00E63A80" w:rsidRPr="00916B56" w:rsidRDefault="00E63A80" w:rsidP="00CC71BF">
      <w:pPr>
        <w:spacing w:line="360" w:lineRule="auto"/>
        <w:rPr>
          <w:rFonts w:ascii="Times New Roman" w:hAnsi="Times New Roman" w:cs="Times New Roman"/>
          <w:b/>
          <w:szCs w:val="21"/>
        </w:rPr>
      </w:pPr>
      <w:r w:rsidRPr="00916B56">
        <w:rPr>
          <w:rFonts w:ascii="Times New Roman" w:hAnsi="Times New Roman" w:cs="Times New Roman"/>
          <w:b/>
          <w:szCs w:val="21"/>
        </w:rPr>
        <w:t>II. Industry Environment during the Reporting Period</w:t>
      </w:r>
    </w:p>
    <w:p w14:paraId="2AA01DE4" w14:textId="39422DDB" w:rsidR="00DC553B" w:rsidRPr="00916B56" w:rsidRDefault="00E63A80" w:rsidP="00CC71BF">
      <w:pPr>
        <w:spacing w:line="360" w:lineRule="auto"/>
        <w:ind w:firstLineChars="200" w:firstLine="420"/>
        <w:rPr>
          <w:rFonts w:ascii="Times New Roman" w:hAnsi="Times New Roman" w:cs="Times New Roman"/>
          <w:strike/>
          <w:szCs w:val="21"/>
        </w:rPr>
      </w:pPr>
      <w:r w:rsidRPr="00916B56">
        <w:rPr>
          <w:rFonts w:ascii="Times New Roman" w:hAnsi="Times New Roman" w:cs="Times New Roman"/>
          <w:szCs w:val="21"/>
        </w:rPr>
        <w:t xml:space="preserve">According to the </w:t>
      </w:r>
      <w:r w:rsidRPr="00916B56">
        <w:rPr>
          <w:rFonts w:ascii="Times New Roman" w:hAnsi="Times New Roman" w:cs="Times New Roman"/>
          <w:i/>
          <w:iCs/>
          <w:szCs w:val="21"/>
        </w:rPr>
        <w:t>White Paper on China's Lithium-Ion Battery Industry Development (2026)</w:t>
      </w:r>
      <w:r w:rsidRPr="00916B56">
        <w:rPr>
          <w:rFonts w:ascii="Times New Roman" w:hAnsi="Times New Roman" w:cs="Times New Roman"/>
          <w:szCs w:val="21"/>
        </w:rPr>
        <w:t xml:space="preserve"> released by EV</w:t>
      </w:r>
      <w:r w:rsidR="00E7686E">
        <w:rPr>
          <w:rFonts w:ascii="Times New Roman" w:hAnsi="Times New Roman" w:cs="Times New Roman"/>
          <w:szCs w:val="21"/>
        </w:rPr>
        <w:t xml:space="preserve"> </w:t>
      </w:r>
      <w:r w:rsidRPr="00916B56">
        <w:rPr>
          <w:rFonts w:ascii="Times New Roman" w:hAnsi="Times New Roman" w:cs="Times New Roman"/>
          <w:szCs w:val="21"/>
        </w:rPr>
        <w:t xml:space="preserve">Tank, lithium-ion batteries </w:t>
      </w:r>
      <w:r w:rsidR="00DC553B" w:rsidRPr="00916B56">
        <w:rPr>
          <w:rFonts w:ascii="Times New Roman" w:hAnsi="Times New Roman" w:cs="Times New Roman" w:hint="eastAsia"/>
          <w:szCs w:val="21"/>
        </w:rPr>
        <w:t xml:space="preserve">shipments </w:t>
      </w:r>
      <w:r w:rsidRPr="00916B56">
        <w:rPr>
          <w:rFonts w:ascii="Times New Roman" w:hAnsi="Times New Roman" w:cs="Times New Roman"/>
          <w:szCs w:val="21"/>
        </w:rPr>
        <w:t>in both</w:t>
      </w:r>
      <w:r w:rsidR="0079560C" w:rsidRPr="00916B56">
        <w:rPr>
          <w:rFonts w:ascii="Times New Roman" w:hAnsi="Times New Roman" w:cs="Times New Roman"/>
          <w:szCs w:val="21"/>
        </w:rPr>
        <w:t xml:space="preserve"> the Chinese and global markets </w:t>
      </w:r>
      <w:r w:rsidR="00DC553B" w:rsidRPr="00916B56">
        <w:rPr>
          <w:rFonts w:ascii="Times New Roman" w:hAnsi="Times New Roman" w:cs="Times New Roman" w:hint="eastAsia"/>
          <w:szCs w:val="21"/>
        </w:rPr>
        <w:t xml:space="preserve">experienced </w:t>
      </w:r>
      <w:r w:rsidRPr="00916B56">
        <w:rPr>
          <w:rFonts w:ascii="Times New Roman" w:hAnsi="Times New Roman" w:cs="Times New Roman"/>
          <w:szCs w:val="21"/>
        </w:rPr>
        <w:t xml:space="preserve">rapid growth in 2025, with energy storage batteries </w:t>
      </w:r>
      <w:r w:rsidR="00DC553B" w:rsidRPr="00916B56">
        <w:rPr>
          <w:rFonts w:ascii="Times New Roman" w:hAnsi="Times New Roman" w:cs="Times New Roman" w:hint="eastAsia"/>
          <w:szCs w:val="21"/>
        </w:rPr>
        <w:t xml:space="preserve">emerging as the primary growth driver. </w:t>
      </w:r>
    </w:p>
    <w:p w14:paraId="06834A7E" w14:textId="1DA6BDDC" w:rsidR="00E63A80" w:rsidRPr="00916B56" w:rsidRDefault="00E63A80" w:rsidP="00792EB2">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Data shows that lithium-ion batteries </w:t>
      </w:r>
      <w:r w:rsidR="00DC553B" w:rsidRPr="00916B56">
        <w:rPr>
          <w:rFonts w:ascii="Times New Roman" w:hAnsi="Times New Roman" w:cs="Times New Roman" w:hint="eastAsia"/>
          <w:szCs w:val="21"/>
        </w:rPr>
        <w:t xml:space="preserve">shipment </w:t>
      </w:r>
      <w:r w:rsidRPr="00916B56">
        <w:rPr>
          <w:rFonts w:ascii="Times New Roman" w:hAnsi="Times New Roman" w:cs="Times New Roman"/>
          <w:szCs w:val="21"/>
        </w:rPr>
        <w:t xml:space="preserve">reached 2,280.5GWh in 2025, </w:t>
      </w:r>
      <w:r w:rsidR="00DC553B" w:rsidRPr="00916B56">
        <w:rPr>
          <w:rFonts w:ascii="Times New Roman" w:hAnsi="Times New Roman" w:cs="Times New Roman" w:hint="eastAsia"/>
          <w:szCs w:val="21"/>
        </w:rPr>
        <w:t xml:space="preserve">representing </w:t>
      </w:r>
      <w:r w:rsidRPr="00916B56">
        <w:rPr>
          <w:rFonts w:ascii="Times New Roman" w:hAnsi="Times New Roman" w:cs="Times New Roman"/>
          <w:szCs w:val="21"/>
        </w:rPr>
        <w:t>a year-on-year increase of 47.6%, significantly higher than market expectations. In 2025, China's lithium-ion battery shipment</w:t>
      </w:r>
      <w:r w:rsidR="00DC553B" w:rsidRPr="00916B56">
        <w:rPr>
          <w:rFonts w:ascii="Times New Roman" w:hAnsi="Times New Roman" w:cs="Times New Roman" w:hint="eastAsia"/>
          <w:szCs w:val="21"/>
        </w:rPr>
        <w:t>s</w:t>
      </w:r>
      <w:r w:rsidRPr="00916B56">
        <w:rPr>
          <w:rFonts w:ascii="Times New Roman" w:hAnsi="Times New Roman" w:cs="Times New Roman"/>
          <w:szCs w:val="21"/>
        </w:rPr>
        <w:t xml:space="preserve"> reached 1,888.6GWh, a year-on-year increase of 55.5%, with the growth rate 18.6 percentage points higher </w:t>
      </w:r>
      <w:r w:rsidR="00DC553B" w:rsidRPr="00916B56">
        <w:rPr>
          <w:rFonts w:ascii="Times New Roman" w:hAnsi="Times New Roman" w:cs="Times New Roman" w:hint="eastAsia"/>
          <w:szCs w:val="21"/>
        </w:rPr>
        <w:t xml:space="preserve">compared to </w:t>
      </w:r>
      <w:r w:rsidR="0079560C" w:rsidRPr="00916B56">
        <w:rPr>
          <w:rFonts w:ascii="Times New Roman" w:hAnsi="Times New Roman" w:cs="Times New Roman"/>
          <w:szCs w:val="21"/>
        </w:rPr>
        <w:t>2024,</w:t>
      </w:r>
      <w:r w:rsidR="00DC553B" w:rsidRPr="00916B56">
        <w:rPr>
          <w:rFonts w:ascii="Times New Roman" w:hAnsi="Times New Roman" w:cs="Times New Roman" w:hint="eastAsia"/>
          <w:szCs w:val="21"/>
        </w:rPr>
        <w:t xml:space="preserve"> China</w:t>
      </w:r>
      <w:r w:rsidRPr="00916B56">
        <w:rPr>
          <w:rFonts w:ascii="Times New Roman" w:hAnsi="Times New Roman" w:cs="Times New Roman"/>
          <w:szCs w:val="21"/>
        </w:rPr>
        <w:t xml:space="preserve"> </w:t>
      </w:r>
      <w:r w:rsidR="00DC553B" w:rsidRPr="00916B56">
        <w:rPr>
          <w:rFonts w:ascii="Times New Roman" w:hAnsi="Times New Roman" w:cs="Times New Roman" w:hint="eastAsia"/>
          <w:szCs w:val="21"/>
        </w:rPr>
        <w:t xml:space="preserve">accounted </w:t>
      </w:r>
      <w:r w:rsidRPr="00916B56">
        <w:rPr>
          <w:rFonts w:ascii="Times New Roman" w:hAnsi="Times New Roman" w:cs="Times New Roman"/>
          <w:szCs w:val="21"/>
        </w:rPr>
        <w:t>for 82.8% of the global shipment</w:t>
      </w:r>
      <w:r w:rsidR="00DC553B" w:rsidRPr="00916B56">
        <w:rPr>
          <w:rFonts w:ascii="Times New Roman" w:hAnsi="Times New Roman" w:cs="Times New Roman" w:hint="eastAsia"/>
          <w:szCs w:val="21"/>
        </w:rPr>
        <w:t>s</w:t>
      </w:r>
      <w:r w:rsidRPr="00916B56">
        <w:rPr>
          <w:rFonts w:ascii="Times New Roman" w:hAnsi="Times New Roman" w:cs="Times New Roman"/>
          <w:szCs w:val="21"/>
        </w:rPr>
        <w:t xml:space="preserve">, and </w:t>
      </w:r>
      <w:r w:rsidR="00DC553B" w:rsidRPr="00916B56">
        <w:rPr>
          <w:rFonts w:ascii="Times New Roman" w:hAnsi="Times New Roman" w:cs="Times New Roman" w:hint="eastAsia"/>
          <w:szCs w:val="21"/>
        </w:rPr>
        <w:t xml:space="preserve">its </w:t>
      </w:r>
      <w:r w:rsidR="00DC553B" w:rsidRPr="00916B56">
        <w:rPr>
          <w:rFonts w:ascii="Times New Roman" w:hAnsi="Times New Roman" w:cs="Times New Roman"/>
          <w:szCs w:val="21"/>
        </w:rPr>
        <w:t>share</w:t>
      </w:r>
      <w:r w:rsidRPr="00916B56">
        <w:rPr>
          <w:rFonts w:ascii="Times New Roman" w:hAnsi="Times New Roman" w:cs="Times New Roman"/>
          <w:szCs w:val="21"/>
        </w:rPr>
        <w:t xml:space="preserve"> continued to </w:t>
      </w:r>
      <w:r w:rsidR="0079560C" w:rsidRPr="00916B56">
        <w:rPr>
          <w:rFonts w:ascii="Times New Roman" w:hAnsi="Times New Roman" w:cs="Times New Roman" w:hint="eastAsia"/>
          <w:szCs w:val="21"/>
        </w:rPr>
        <w:t>increase</w:t>
      </w:r>
      <w:r w:rsidRPr="00916B56">
        <w:rPr>
          <w:rFonts w:ascii="Times New Roman" w:hAnsi="Times New Roman" w:cs="Times New Roman"/>
          <w:szCs w:val="21"/>
        </w:rPr>
        <w:t>. EV</w:t>
      </w:r>
      <w:r w:rsidR="001F496C">
        <w:rPr>
          <w:rFonts w:ascii="Times New Roman" w:hAnsi="Times New Roman" w:cs="Times New Roman"/>
          <w:szCs w:val="21"/>
        </w:rPr>
        <w:t xml:space="preserve"> </w:t>
      </w:r>
      <w:r w:rsidRPr="00916B56">
        <w:rPr>
          <w:rFonts w:ascii="Times New Roman" w:hAnsi="Times New Roman" w:cs="Times New Roman"/>
          <w:szCs w:val="21"/>
        </w:rPr>
        <w:t xml:space="preserve">Tank analysis believes that in addition to </w:t>
      </w:r>
      <w:r w:rsidR="00DC553B" w:rsidRPr="00916B56">
        <w:rPr>
          <w:rFonts w:ascii="Times New Roman" w:hAnsi="Times New Roman" w:cs="Times New Roman" w:hint="eastAsia"/>
          <w:szCs w:val="21"/>
        </w:rPr>
        <w:t>robust</w:t>
      </w:r>
      <w:r w:rsidRPr="00916B56">
        <w:rPr>
          <w:rFonts w:ascii="Times New Roman" w:hAnsi="Times New Roman" w:cs="Times New Roman"/>
          <w:szCs w:val="21"/>
        </w:rPr>
        <w:t xml:space="preserve"> domestic demand, the rapid growth of lithium-ion battery exports has become </w:t>
      </w:r>
      <w:r w:rsidR="00DC553B" w:rsidRPr="00916B56">
        <w:rPr>
          <w:rFonts w:ascii="Times New Roman" w:hAnsi="Times New Roman" w:cs="Times New Roman" w:hint="eastAsia"/>
          <w:szCs w:val="21"/>
        </w:rPr>
        <w:t xml:space="preserve">a key driver of </w:t>
      </w:r>
      <w:r w:rsidRPr="00916B56">
        <w:rPr>
          <w:rFonts w:ascii="Times New Roman" w:hAnsi="Times New Roman" w:cs="Times New Roman"/>
          <w:szCs w:val="21"/>
        </w:rPr>
        <w:t xml:space="preserve">China's </w:t>
      </w:r>
      <w:r w:rsidR="00DC553B" w:rsidRPr="00916B56">
        <w:rPr>
          <w:rFonts w:ascii="Times New Roman" w:hAnsi="Times New Roman" w:cs="Times New Roman" w:hint="eastAsia"/>
          <w:szCs w:val="21"/>
        </w:rPr>
        <w:t xml:space="preserve">battery </w:t>
      </w:r>
      <w:r w:rsidRPr="00916B56">
        <w:rPr>
          <w:rFonts w:ascii="Times New Roman" w:hAnsi="Times New Roman" w:cs="Times New Roman"/>
          <w:szCs w:val="21"/>
        </w:rPr>
        <w:t xml:space="preserve">shipment </w:t>
      </w:r>
      <w:r w:rsidR="00DC553B" w:rsidRPr="00916B56">
        <w:rPr>
          <w:rFonts w:ascii="Times New Roman" w:hAnsi="Times New Roman" w:cs="Times New Roman" w:hint="eastAsia"/>
          <w:szCs w:val="21"/>
        </w:rPr>
        <w:t>growth</w:t>
      </w:r>
      <w:r w:rsidRPr="00916B56">
        <w:rPr>
          <w:rFonts w:ascii="Times New Roman" w:hAnsi="Times New Roman" w:cs="Times New Roman"/>
          <w:szCs w:val="21"/>
        </w:rPr>
        <w:t xml:space="preserve">, </w:t>
      </w:r>
      <w:r w:rsidR="0079560C" w:rsidRPr="00916B56">
        <w:rPr>
          <w:rFonts w:ascii="Times New Roman" w:hAnsi="Times New Roman" w:cs="Times New Roman" w:hint="eastAsia"/>
          <w:szCs w:val="21"/>
        </w:rPr>
        <w:t>with</w:t>
      </w:r>
      <w:r w:rsidRPr="00916B56">
        <w:rPr>
          <w:rFonts w:ascii="Times New Roman" w:hAnsi="Times New Roman" w:cs="Times New Roman"/>
          <w:szCs w:val="21"/>
        </w:rPr>
        <w:t xml:space="preserve"> the globalization process of Chinese battery companies </w:t>
      </w:r>
      <w:r w:rsidR="00EC140C" w:rsidRPr="00916B56">
        <w:rPr>
          <w:rFonts w:ascii="Times New Roman" w:hAnsi="Times New Roman" w:cs="Times New Roman" w:hint="eastAsia"/>
          <w:szCs w:val="21"/>
        </w:rPr>
        <w:t xml:space="preserve">accelerating </w:t>
      </w:r>
      <w:r w:rsidRPr="00916B56">
        <w:rPr>
          <w:rFonts w:ascii="Times New Roman" w:hAnsi="Times New Roman" w:cs="Times New Roman"/>
          <w:szCs w:val="21"/>
        </w:rPr>
        <w:t>significantly.</w:t>
      </w:r>
      <w:r w:rsidR="00792EB2">
        <w:rPr>
          <w:rFonts w:ascii="Times New Roman" w:hAnsi="Times New Roman" w:cs="Times New Roman"/>
          <w:szCs w:val="21"/>
        </w:rPr>
        <w:t xml:space="preserve"> A</w:t>
      </w:r>
      <w:r w:rsidR="00792EB2">
        <w:rPr>
          <w:rFonts w:ascii="Times New Roman" w:hAnsi="Times New Roman" w:cs="Times New Roman" w:hint="eastAsia"/>
          <w:szCs w:val="21"/>
        </w:rPr>
        <w:t>nd</w:t>
      </w:r>
      <w:r w:rsidRPr="00916B56">
        <w:rPr>
          <w:rFonts w:ascii="Times New Roman" w:hAnsi="Times New Roman" w:cs="Times New Roman"/>
          <w:szCs w:val="21"/>
        </w:rPr>
        <w:t xml:space="preserve"> EV</w:t>
      </w:r>
      <w:r w:rsidR="001F7365">
        <w:rPr>
          <w:rFonts w:ascii="Times New Roman" w:hAnsi="Times New Roman" w:cs="Times New Roman"/>
          <w:szCs w:val="21"/>
        </w:rPr>
        <w:t xml:space="preserve"> </w:t>
      </w:r>
      <w:r w:rsidRPr="00916B56">
        <w:rPr>
          <w:rFonts w:ascii="Times New Roman" w:hAnsi="Times New Roman" w:cs="Times New Roman"/>
          <w:szCs w:val="21"/>
        </w:rPr>
        <w:t xml:space="preserve">Tank predicts </w:t>
      </w:r>
      <w:r w:rsidR="0079560C" w:rsidRPr="00916B56">
        <w:rPr>
          <w:rFonts w:ascii="Times New Roman" w:hAnsi="Times New Roman" w:cs="Times New Roman"/>
          <w:szCs w:val="21"/>
        </w:rPr>
        <w:t>that</w:t>
      </w:r>
      <w:r w:rsidRPr="00916B56">
        <w:rPr>
          <w:rFonts w:ascii="Times New Roman" w:hAnsi="Times New Roman" w:cs="Times New Roman"/>
          <w:szCs w:val="21"/>
        </w:rPr>
        <w:t xml:space="preserve"> global lithium-ion battery shipment</w:t>
      </w:r>
      <w:r w:rsidR="00F40BC5" w:rsidRPr="00916B56">
        <w:rPr>
          <w:rFonts w:ascii="Times New Roman" w:hAnsi="Times New Roman" w:cs="Times New Roman" w:hint="eastAsia"/>
          <w:szCs w:val="21"/>
        </w:rPr>
        <w:t>s</w:t>
      </w:r>
      <w:r w:rsidRPr="00916B56">
        <w:rPr>
          <w:rFonts w:ascii="Times New Roman" w:hAnsi="Times New Roman" w:cs="Times New Roman"/>
          <w:szCs w:val="21"/>
        </w:rPr>
        <w:t xml:space="preserve"> will reach 3,016.3GWh in 2026 and 6,012.3GWh </w:t>
      </w:r>
      <w:r w:rsidR="00F40BC5" w:rsidRPr="00916B56">
        <w:rPr>
          <w:rFonts w:ascii="Times New Roman" w:hAnsi="Times New Roman" w:cs="Times New Roman" w:hint="eastAsia"/>
          <w:szCs w:val="21"/>
        </w:rPr>
        <w:t xml:space="preserve">by </w:t>
      </w:r>
      <w:r w:rsidRPr="00916B56">
        <w:rPr>
          <w:rFonts w:ascii="Times New Roman" w:hAnsi="Times New Roman" w:cs="Times New Roman"/>
          <w:szCs w:val="21"/>
        </w:rPr>
        <w:t>2030.</w:t>
      </w:r>
    </w:p>
    <w:p w14:paraId="75CD7573" w14:textId="1F5886D8"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As a platform-based company providing battery materials and process technology solutions, the Company's main products</w:t>
      </w:r>
      <w:r w:rsidR="00896D0C" w:rsidRPr="00916B56">
        <w:rPr>
          <w:rFonts w:ascii="Times New Roman" w:hAnsi="Times New Roman" w:cs="Times New Roman"/>
          <w:szCs w:val="21"/>
        </w:rPr>
        <w:t xml:space="preserve"> are key materials and automation</w:t>
      </w:r>
      <w:r w:rsidRPr="00916B56">
        <w:rPr>
          <w:rFonts w:ascii="Times New Roman" w:hAnsi="Times New Roman" w:cs="Times New Roman"/>
          <w:szCs w:val="21"/>
        </w:rPr>
        <w:t xml:space="preserve"> equipment</w:t>
      </w:r>
      <w:r w:rsidR="0079560C" w:rsidRPr="00916B56">
        <w:rPr>
          <w:rFonts w:ascii="Times New Roman" w:hAnsi="Times New Roman" w:cs="Times New Roman"/>
          <w:szCs w:val="21"/>
        </w:rPr>
        <w:t xml:space="preserve">, </w:t>
      </w:r>
      <w:r w:rsidRPr="00916B56">
        <w:rPr>
          <w:rFonts w:ascii="Times New Roman" w:hAnsi="Times New Roman" w:cs="Times New Roman"/>
          <w:szCs w:val="21"/>
        </w:rPr>
        <w:t>which are in the upstream of the lithium-ion battery industry. Lithium-ion batteries can be divided into power, consumer and energy storage categories according to application scenarios.</w:t>
      </w:r>
    </w:p>
    <w:p w14:paraId="661FA706" w14:textId="77777777"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1. Power Batteries</w:t>
      </w:r>
    </w:p>
    <w:p w14:paraId="289643AE" w14:textId="0D927B6B" w:rsidR="00F40BC5"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In recent years, the global new energy vehicle market has developed rapidly, with production and sales increasing year by year, </w:t>
      </w:r>
      <w:r w:rsidR="00F40BC5" w:rsidRPr="00916B56">
        <w:rPr>
          <w:rFonts w:ascii="Times New Roman" w:hAnsi="Times New Roman" w:cs="Times New Roman" w:hint="eastAsia"/>
          <w:szCs w:val="21"/>
        </w:rPr>
        <w:t xml:space="preserve">thereby </w:t>
      </w:r>
      <w:r w:rsidRPr="00916B56">
        <w:rPr>
          <w:rFonts w:ascii="Times New Roman" w:hAnsi="Times New Roman" w:cs="Times New Roman"/>
          <w:szCs w:val="21"/>
        </w:rPr>
        <w:t xml:space="preserve">driving the continuous growth of power battery shipments. </w:t>
      </w:r>
    </w:p>
    <w:p w14:paraId="55BE34F2" w14:textId="5F5FAB21" w:rsidR="00F40BC5" w:rsidRPr="00916B56" w:rsidRDefault="00F40BC5"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 xml:space="preserve">In 2025, global </w:t>
      </w:r>
      <w:bookmarkStart w:id="7" w:name="OLE_LINK4"/>
      <w:r w:rsidRPr="00916B56">
        <w:rPr>
          <w:rFonts w:ascii="Times New Roman" w:hAnsi="Times New Roman" w:cs="Times New Roman" w:hint="eastAsia"/>
          <w:szCs w:val="21"/>
        </w:rPr>
        <w:t>N</w:t>
      </w:r>
      <w:r w:rsidRPr="00916B56">
        <w:rPr>
          <w:rFonts w:ascii="Times New Roman" w:hAnsi="Times New Roman" w:cs="Times New Roman"/>
          <w:szCs w:val="21"/>
        </w:rPr>
        <w:t xml:space="preserve">ew </w:t>
      </w:r>
      <w:r w:rsidRPr="00916B56">
        <w:rPr>
          <w:rFonts w:ascii="Times New Roman" w:hAnsi="Times New Roman" w:cs="Times New Roman" w:hint="eastAsia"/>
          <w:szCs w:val="21"/>
        </w:rPr>
        <w:t>E</w:t>
      </w:r>
      <w:r w:rsidRPr="00916B56">
        <w:rPr>
          <w:rFonts w:ascii="Times New Roman" w:hAnsi="Times New Roman" w:cs="Times New Roman"/>
          <w:szCs w:val="21"/>
        </w:rPr>
        <w:t xml:space="preserve">nergy </w:t>
      </w:r>
      <w:r w:rsidRPr="00916B56">
        <w:rPr>
          <w:rFonts w:ascii="Times New Roman" w:hAnsi="Times New Roman" w:cs="Times New Roman" w:hint="eastAsia"/>
          <w:szCs w:val="21"/>
        </w:rPr>
        <w:t>V</w:t>
      </w:r>
      <w:r w:rsidRPr="00916B56">
        <w:rPr>
          <w:rFonts w:ascii="Times New Roman" w:hAnsi="Times New Roman" w:cs="Times New Roman"/>
          <w:szCs w:val="21"/>
        </w:rPr>
        <w:t>ehicles</w:t>
      </w:r>
      <w:bookmarkEnd w:id="7"/>
      <w:r w:rsidRPr="00916B56">
        <w:rPr>
          <w:rFonts w:ascii="Times New Roman" w:hAnsi="Times New Roman" w:cs="Times New Roman" w:hint="eastAsia"/>
          <w:szCs w:val="21"/>
        </w:rPr>
        <w:t xml:space="preserve"> sales reached 23.542 million units, representing a year-on-year increase of 29.1%. China</w:t>
      </w:r>
      <w:proofErr w:type="gramStart"/>
      <w:r w:rsidRPr="00916B56">
        <w:rPr>
          <w:rFonts w:ascii="Times New Roman" w:hAnsi="Times New Roman" w:cs="Times New Roman" w:hint="eastAsia"/>
          <w:szCs w:val="21"/>
        </w:rPr>
        <w:t>’</w:t>
      </w:r>
      <w:proofErr w:type="gramEnd"/>
      <w:r w:rsidRPr="00916B56">
        <w:rPr>
          <w:rFonts w:ascii="Times New Roman" w:hAnsi="Times New Roman" w:cs="Times New Roman" w:hint="eastAsia"/>
          <w:szCs w:val="21"/>
        </w:rPr>
        <w:t>s share of global N</w:t>
      </w:r>
      <w:r w:rsidRPr="00916B56">
        <w:rPr>
          <w:rFonts w:ascii="Times New Roman" w:hAnsi="Times New Roman" w:cs="Times New Roman"/>
          <w:szCs w:val="21"/>
        </w:rPr>
        <w:t xml:space="preserve">ew </w:t>
      </w:r>
      <w:r w:rsidRPr="00916B56">
        <w:rPr>
          <w:rFonts w:ascii="Times New Roman" w:hAnsi="Times New Roman" w:cs="Times New Roman" w:hint="eastAsia"/>
          <w:szCs w:val="21"/>
        </w:rPr>
        <w:t>E</w:t>
      </w:r>
      <w:r w:rsidRPr="00916B56">
        <w:rPr>
          <w:rFonts w:ascii="Times New Roman" w:hAnsi="Times New Roman" w:cs="Times New Roman"/>
          <w:szCs w:val="21"/>
        </w:rPr>
        <w:t xml:space="preserve">nergy </w:t>
      </w:r>
      <w:r w:rsidRPr="00916B56">
        <w:rPr>
          <w:rFonts w:ascii="Times New Roman" w:hAnsi="Times New Roman" w:cs="Times New Roman" w:hint="eastAsia"/>
          <w:szCs w:val="21"/>
        </w:rPr>
        <w:t>V</w:t>
      </w:r>
      <w:r w:rsidRPr="00916B56">
        <w:rPr>
          <w:rFonts w:ascii="Times New Roman" w:hAnsi="Times New Roman" w:cs="Times New Roman"/>
          <w:szCs w:val="21"/>
        </w:rPr>
        <w:t>ehicles</w:t>
      </w:r>
      <w:r w:rsidRPr="00916B56">
        <w:rPr>
          <w:rFonts w:ascii="Times New Roman" w:hAnsi="Times New Roman" w:cs="Times New Roman" w:hint="eastAsia"/>
          <w:szCs w:val="21"/>
        </w:rPr>
        <w:t xml:space="preserve"> sales rose to 70.3%, further consolidating its leading position.</w:t>
      </w:r>
    </w:p>
    <w:p w14:paraId="2BAB9A4E" w14:textId="7A51C702" w:rsidR="00380ED1" w:rsidRPr="00916B56" w:rsidRDefault="00F40BC5" w:rsidP="0099271D">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During the same period:</w:t>
      </w:r>
      <w:bookmarkStart w:id="8" w:name="OLE_LINK8"/>
      <w:r w:rsidR="006F64D6">
        <w:rPr>
          <w:rFonts w:ascii="Times New Roman" w:hAnsi="Times New Roman" w:cs="Times New Roman" w:hint="eastAsia"/>
          <w:szCs w:val="21"/>
        </w:rPr>
        <w:t xml:space="preserve"> </w:t>
      </w:r>
      <w:r w:rsidRPr="006F64D6">
        <w:rPr>
          <w:rFonts w:ascii="Times New Roman" w:hAnsi="Times New Roman" w:cs="Times New Roman" w:hint="eastAsia"/>
          <w:szCs w:val="21"/>
        </w:rPr>
        <w:t>N</w:t>
      </w:r>
      <w:r w:rsidRPr="006F64D6">
        <w:rPr>
          <w:rFonts w:ascii="Times New Roman" w:hAnsi="Times New Roman" w:cs="Times New Roman"/>
          <w:szCs w:val="21"/>
        </w:rPr>
        <w:t xml:space="preserve">ew </w:t>
      </w:r>
      <w:r w:rsidRPr="006F64D6">
        <w:rPr>
          <w:rFonts w:ascii="Times New Roman" w:hAnsi="Times New Roman" w:cs="Times New Roman" w:hint="eastAsia"/>
          <w:szCs w:val="21"/>
        </w:rPr>
        <w:t>E</w:t>
      </w:r>
      <w:r w:rsidRPr="006F64D6">
        <w:rPr>
          <w:rFonts w:ascii="Times New Roman" w:hAnsi="Times New Roman" w:cs="Times New Roman"/>
          <w:szCs w:val="21"/>
        </w:rPr>
        <w:t xml:space="preserve">nergy </w:t>
      </w:r>
      <w:r w:rsidRPr="006F64D6">
        <w:rPr>
          <w:rFonts w:ascii="Times New Roman" w:hAnsi="Times New Roman" w:cs="Times New Roman" w:hint="eastAsia"/>
          <w:szCs w:val="21"/>
        </w:rPr>
        <w:t>V</w:t>
      </w:r>
      <w:r w:rsidRPr="006F64D6">
        <w:rPr>
          <w:rFonts w:ascii="Times New Roman" w:hAnsi="Times New Roman" w:cs="Times New Roman"/>
          <w:szCs w:val="21"/>
        </w:rPr>
        <w:t>ehicles</w:t>
      </w:r>
      <w:r w:rsidRPr="006F64D6">
        <w:rPr>
          <w:rFonts w:ascii="Times New Roman" w:hAnsi="Times New Roman" w:cs="Times New Roman" w:hint="eastAsia"/>
          <w:szCs w:val="21"/>
        </w:rPr>
        <w:t xml:space="preserve"> </w:t>
      </w:r>
      <w:bookmarkEnd w:id="8"/>
      <w:r w:rsidRPr="006F64D6">
        <w:rPr>
          <w:rFonts w:ascii="Times New Roman" w:hAnsi="Times New Roman" w:cs="Times New Roman" w:hint="eastAsia"/>
          <w:szCs w:val="21"/>
        </w:rPr>
        <w:t>sales in Europe reached 3.770 million units, up 30.5% year-on-year</w:t>
      </w:r>
      <w:r w:rsidR="006F64D6">
        <w:rPr>
          <w:rFonts w:ascii="Times New Roman" w:hAnsi="Times New Roman" w:cs="Times New Roman" w:hint="eastAsia"/>
          <w:szCs w:val="21"/>
        </w:rPr>
        <w:t>;</w:t>
      </w:r>
      <w:r w:rsidR="006F64D6">
        <w:rPr>
          <w:rFonts w:ascii="Times New Roman" w:hAnsi="Times New Roman" w:cs="Times New Roman"/>
          <w:szCs w:val="21"/>
        </w:rPr>
        <w:t xml:space="preserve"> </w:t>
      </w:r>
      <w:r w:rsidRPr="006F64D6">
        <w:rPr>
          <w:rFonts w:ascii="Times New Roman" w:hAnsi="Times New Roman" w:cs="Times New Roman" w:hint="eastAsia"/>
          <w:szCs w:val="21"/>
        </w:rPr>
        <w:t>N</w:t>
      </w:r>
      <w:r w:rsidRPr="006F64D6">
        <w:rPr>
          <w:rFonts w:ascii="Times New Roman" w:hAnsi="Times New Roman" w:cs="Times New Roman"/>
          <w:szCs w:val="21"/>
        </w:rPr>
        <w:t xml:space="preserve">ew </w:t>
      </w:r>
      <w:r w:rsidRPr="006F64D6">
        <w:rPr>
          <w:rFonts w:ascii="Times New Roman" w:hAnsi="Times New Roman" w:cs="Times New Roman" w:hint="eastAsia"/>
          <w:szCs w:val="21"/>
        </w:rPr>
        <w:t>E</w:t>
      </w:r>
      <w:r w:rsidRPr="006F64D6">
        <w:rPr>
          <w:rFonts w:ascii="Times New Roman" w:hAnsi="Times New Roman" w:cs="Times New Roman"/>
          <w:szCs w:val="21"/>
        </w:rPr>
        <w:t xml:space="preserve">nergy </w:t>
      </w:r>
      <w:r w:rsidRPr="006F64D6">
        <w:rPr>
          <w:rFonts w:ascii="Times New Roman" w:hAnsi="Times New Roman" w:cs="Times New Roman" w:hint="eastAsia"/>
          <w:szCs w:val="21"/>
        </w:rPr>
        <w:t>V</w:t>
      </w:r>
      <w:r w:rsidRPr="006F64D6">
        <w:rPr>
          <w:rFonts w:ascii="Times New Roman" w:hAnsi="Times New Roman" w:cs="Times New Roman"/>
          <w:szCs w:val="21"/>
        </w:rPr>
        <w:t>ehicles</w:t>
      </w:r>
      <w:r w:rsidRPr="006F64D6">
        <w:rPr>
          <w:rFonts w:ascii="Times New Roman" w:hAnsi="Times New Roman" w:cs="Times New Roman" w:hint="eastAsia"/>
          <w:szCs w:val="21"/>
        </w:rPr>
        <w:t xml:space="preserve"> sales in the United States reached 1.600 million units, with a modest increase of 1.72%</w:t>
      </w:r>
      <w:r w:rsidR="006F64D6">
        <w:rPr>
          <w:rFonts w:ascii="Times New Roman" w:hAnsi="Times New Roman" w:cs="Times New Roman" w:hint="eastAsia"/>
          <w:szCs w:val="21"/>
        </w:rPr>
        <w:t>.</w:t>
      </w:r>
      <w:r w:rsidR="006F64D6">
        <w:rPr>
          <w:rFonts w:ascii="Times New Roman" w:hAnsi="Times New Roman" w:cs="Times New Roman"/>
          <w:szCs w:val="21"/>
        </w:rPr>
        <w:t xml:space="preserve"> </w:t>
      </w:r>
      <w:r w:rsidR="0099271D">
        <w:rPr>
          <w:rFonts w:ascii="Times New Roman" w:hAnsi="Times New Roman" w:cs="Times New Roman"/>
          <w:szCs w:val="21"/>
        </w:rPr>
        <w:t>The g</w:t>
      </w:r>
      <w:r w:rsidR="00380ED1" w:rsidRPr="00916B56">
        <w:rPr>
          <w:rFonts w:ascii="Times New Roman" w:hAnsi="Times New Roman" w:cs="Times New Roman" w:hint="eastAsia"/>
          <w:szCs w:val="21"/>
        </w:rPr>
        <w:t xml:space="preserve">rowth in the U.S. market was constrained by factors such as the expiration of federal tax credit policies, with the annual EV penetration rate reaching only 9.6%. </w:t>
      </w:r>
      <w:r w:rsidR="006F64D6">
        <w:rPr>
          <w:rFonts w:ascii="Times New Roman" w:hAnsi="Times New Roman" w:cs="Times New Roman"/>
          <w:szCs w:val="21"/>
        </w:rPr>
        <w:t>T</w:t>
      </w:r>
      <w:r w:rsidR="00380ED1" w:rsidRPr="00916B56">
        <w:rPr>
          <w:rFonts w:ascii="Times New Roman" w:hAnsi="Times New Roman" w:cs="Times New Roman" w:hint="eastAsia"/>
          <w:szCs w:val="21"/>
        </w:rPr>
        <w:t>he European market exceeded expectations, with strong growth driven by key countries:</w:t>
      </w:r>
      <w:r w:rsidR="006F64D6">
        <w:rPr>
          <w:rFonts w:ascii="Times New Roman" w:hAnsi="Times New Roman" w:cs="Times New Roman"/>
          <w:szCs w:val="21"/>
        </w:rPr>
        <w:t xml:space="preserve"> </w:t>
      </w:r>
      <w:r w:rsidR="006F64D6" w:rsidRPr="006F64D6">
        <w:rPr>
          <w:rFonts w:ascii="Times New Roman" w:hAnsi="Times New Roman" w:cs="Times New Roman"/>
          <w:szCs w:val="21"/>
        </w:rPr>
        <w:t xml:space="preserve">Germany's </w:t>
      </w:r>
      <w:r w:rsidR="00585ED1" w:rsidRPr="00916B56">
        <w:rPr>
          <w:rFonts w:ascii="Times New Roman" w:hAnsi="Times New Roman" w:cs="Times New Roman" w:hint="eastAsia"/>
          <w:szCs w:val="21"/>
        </w:rPr>
        <w:t>N</w:t>
      </w:r>
      <w:r w:rsidR="00585ED1" w:rsidRPr="00916B56">
        <w:rPr>
          <w:rFonts w:ascii="Times New Roman" w:hAnsi="Times New Roman" w:cs="Times New Roman"/>
          <w:szCs w:val="21"/>
        </w:rPr>
        <w:t xml:space="preserve">ew </w:t>
      </w:r>
      <w:r w:rsidR="00585ED1" w:rsidRPr="00916B56">
        <w:rPr>
          <w:rFonts w:ascii="Times New Roman" w:hAnsi="Times New Roman" w:cs="Times New Roman" w:hint="eastAsia"/>
          <w:szCs w:val="21"/>
        </w:rPr>
        <w:t>E</w:t>
      </w:r>
      <w:r w:rsidR="00585ED1" w:rsidRPr="00916B56">
        <w:rPr>
          <w:rFonts w:ascii="Times New Roman" w:hAnsi="Times New Roman" w:cs="Times New Roman"/>
          <w:szCs w:val="21"/>
        </w:rPr>
        <w:t xml:space="preserve">nergy </w:t>
      </w:r>
      <w:r w:rsidR="00585ED1" w:rsidRPr="00916B56">
        <w:rPr>
          <w:rFonts w:ascii="Times New Roman" w:hAnsi="Times New Roman" w:cs="Times New Roman" w:hint="eastAsia"/>
          <w:szCs w:val="21"/>
        </w:rPr>
        <w:t>V</w:t>
      </w:r>
      <w:r w:rsidR="00585ED1" w:rsidRPr="00916B56">
        <w:rPr>
          <w:rFonts w:ascii="Times New Roman" w:hAnsi="Times New Roman" w:cs="Times New Roman"/>
          <w:szCs w:val="21"/>
        </w:rPr>
        <w:t>ehicles</w:t>
      </w:r>
      <w:r w:rsidR="00585ED1">
        <w:rPr>
          <w:rFonts w:ascii="Times New Roman" w:hAnsi="Times New Roman" w:cs="Times New Roman"/>
          <w:szCs w:val="21"/>
        </w:rPr>
        <w:t xml:space="preserve"> market</w:t>
      </w:r>
      <w:r w:rsidR="006F64D6" w:rsidRPr="006F64D6">
        <w:rPr>
          <w:rFonts w:ascii="Times New Roman" w:hAnsi="Times New Roman" w:cs="Times New Roman"/>
          <w:szCs w:val="21"/>
        </w:rPr>
        <w:t xml:space="preserve"> rebounded strongly in 2025, with a year-on-year growth rate of up to 43.2%</w:t>
      </w:r>
      <w:r w:rsidR="006F64D6">
        <w:rPr>
          <w:rFonts w:ascii="Times New Roman" w:hAnsi="Times New Roman" w:cs="Times New Roman" w:hint="eastAsia"/>
          <w:szCs w:val="21"/>
        </w:rPr>
        <w:t>,</w:t>
      </w:r>
      <w:r w:rsidR="006F64D6">
        <w:rPr>
          <w:rFonts w:ascii="Times New Roman" w:hAnsi="Times New Roman" w:cs="Times New Roman"/>
          <w:szCs w:val="21"/>
        </w:rPr>
        <w:t xml:space="preserve"> </w:t>
      </w:r>
      <w:r w:rsidR="0099271D">
        <w:rPr>
          <w:rFonts w:ascii="Times New Roman" w:hAnsi="Times New Roman" w:cs="Times New Roman"/>
          <w:szCs w:val="21"/>
        </w:rPr>
        <w:t xml:space="preserve">and </w:t>
      </w:r>
      <w:r w:rsidR="00380ED1" w:rsidRPr="006F64D6">
        <w:rPr>
          <w:rFonts w:ascii="Times New Roman" w:hAnsi="Times New Roman" w:cs="Times New Roman" w:hint="eastAsia"/>
          <w:szCs w:val="21"/>
        </w:rPr>
        <w:t>The United Kingdom surpassed 700,000 units, with growth exceeding 30%</w:t>
      </w:r>
      <w:r w:rsidR="0099271D">
        <w:rPr>
          <w:rFonts w:ascii="Times New Roman" w:hAnsi="Times New Roman" w:cs="Times New Roman"/>
          <w:szCs w:val="21"/>
        </w:rPr>
        <w:t xml:space="preserve">. </w:t>
      </w:r>
      <w:r w:rsidR="00380ED1" w:rsidRPr="00916B56">
        <w:rPr>
          <w:rFonts w:ascii="Times New Roman" w:hAnsi="Times New Roman" w:cs="Times New Roman" w:hint="eastAsia"/>
          <w:szCs w:val="21"/>
        </w:rPr>
        <w:t>Overall, the N</w:t>
      </w:r>
      <w:r w:rsidR="00380ED1" w:rsidRPr="00916B56">
        <w:rPr>
          <w:rFonts w:ascii="Times New Roman" w:hAnsi="Times New Roman" w:cs="Times New Roman"/>
          <w:szCs w:val="21"/>
        </w:rPr>
        <w:t xml:space="preserve">ew </w:t>
      </w:r>
      <w:r w:rsidR="00380ED1" w:rsidRPr="00916B56">
        <w:rPr>
          <w:rFonts w:ascii="Times New Roman" w:hAnsi="Times New Roman" w:cs="Times New Roman" w:hint="eastAsia"/>
          <w:szCs w:val="21"/>
        </w:rPr>
        <w:t>E</w:t>
      </w:r>
      <w:r w:rsidR="00380ED1" w:rsidRPr="00916B56">
        <w:rPr>
          <w:rFonts w:ascii="Times New Roman" w:hAnsi="Times New Roman" w:cs="Times New Roman"/>
          <w:szCs w:val="21"/>
        </w:rPr>
        <w:t xml:space="preserve">nergy </w:t>
      </w:r>
      <w:r w:rsidR="00380ED1" w:rsidRPr="00916B56">
        <w:rPr>
          <w:rFonts w:ascii="Times New Roman" w:hAnsi="Times New Roman" w:cs="Times New Roman" w:hint="eastAsia"/>
          <w:szCs w:val="21"/>
        </w:rPr>
        <w:t>V</w:t>
      </w:r>
      <w:r w:rsidR="00380ED1" w:rsidRPr="00916B56">
        <w:rPr>
          <w:rFonts w:ascii="Times New Roman" w:hAnsi="Times New Roman" w:cs="Times New Roman"/>
          <w:szCs w:val="21"/>
        </w:rPr>
        <w:t>ehicles</w:t>
      </w:r>
      <w:r w:rsidR="00380ED1" w:rsidRPr="00916B56">
        <w:rPr>
          <w:rFonts w:ascii="Times New Roman" w:hAnsi="Times New Roman" w:cs="Times New Roman" w:hint="eastAsia"/>
          <w:szCs w:val="21"/>
        </w:rPr>
        <w:t xml:space="preserve"> penetration rate in Europe exceeded 20%.</w:t>
      </w:r>
    </w:p>
    <w:p w14:paraId="714B5EF3" w14:textId="53ACD949" w:rsidR="00380ED1" w:rsidRPr="00916B56" w:rsidRDefault="00380ED1"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Emerging markets</w:t>
      </w:r>
      <w:r w:rsidRPr="00916B56">
        <w:rPr>
          <w:rFonts w:ascii="Times New Roman" w:hAnsi="Times New Roman" w:cs="Times New Roman" w:hint="eastAsia"/>
          <w:szCs w:val="21"/>
        </w:rPr>
        <w:t>—</w:t>
      </w:r>
      <w:r w:rsidRPr="00916B56">
        <w:rPr>
          <w:rFonts w:ascii="Times New Roman" w:hAnsi="Times New Roman" w:cs="Times New Roman" w:hint="eastAsia"/>
          <w:szCs w:val="21"/>
        </w:rPr>
        <w:t>including India, Indonesia, South Korea, Thailand, and Malaysia</w:t>
      </w:r>
      <w:r w:rsidRPr="00916B56">
        <w:rPr>
          <w:rFonts w:ascii="Times New Roman" w:hAnsi="Times New Roman" w:cs="Times New Roman" w:hint="eastAsia"/>
          <w:szCs w:val="21"/>
        </w:rPr>
        <w:t>—</w:t>
      </w:r>
      <w:r w:rsidRPr="00916B56">
        <w:rPr>
          <w:rFonts w:ascii="Times New Roman" w:hAnsi="Times New Roman" w:cs="Times New Roman" w:hint="eastAsia"/>
          <w:szCs w:val="21"/>
        </w:rPr>
        <w:t>also demonstrated strong momentum, with N</w:t>
      </w:r>
      <w:r w:rsidRPr="00916B56">
        <w:rPr>
          <w:rFonts w:ascii="Times New Roman" w:hAnsi="Times New Roman" w:cs="Times New Roman"/>
          <w:szCs w:val="21"/>
        </w:rPr>
        <w:t xml:space="preserve">ew </w:t>
      </w:r>
      <w:r w:rsidRPr="00916B56">
        <w:rPr>
          <w:rFonts w:ascii="Times New Roman" w:hAnsi="Times New Roman" w:cs="Times New Roman" w:hint="eastAsia"/>
          <w:szCs w:val="21"/>
        </w:rPr>
        <w:t>E</w:t>
      </w:r>
      <w:r w:rsidRPr="00916B56">
        <w:rPr>
          <w:rFonts w:ascii="Times New Roman" w:hAnsi="Times New Roman" w:cs="Times New Roman"/>
          <w:szCs w:val="21"/>
        </w:rPr>
        <w:t xml:space="preserve">nergy </w:t>
      </w:r>
      <w:r w:rsidRPr="00916B56">
        <w:rPr>
          <w:rFonts w:ascii="Times New Roman" w:hAnsi="Times New Roman" w:cs="Times New Roman" w:hint="eastAsia"/>
          <w:szCs w:val="21"/>
        </w:rPr>
        <w:t>V</w:t>
      </w:r>
      <w:r w:rsidRPr="00916B56">
        <w:rPr>
          <w:rFonts w:ascii="Times New Roman" w:hAnsi="Times New Roman" w:cs="Times New Roman"/>
          <w:szCs w:val="21"/>
        </w:rPr>
        <w:t>ehicles</w:t>
      </w:r>
      <w:r w:rsidRPr="00916B56">
        <w:rPr>
          <w:rFonts w:ascii="Times New Roman" w:hAnsi="Times New Roman" w:cs="Times New Roman" w:hint="eastAsia"/>
          <w:szCs w:val="21"/>
        </w:rPr>
        <w:t xml:space="preserve"> sales in these countries growing by over 50% year-on-year in 2025.</w:t>
      </w:r>
    </w:p>
    <w:p w14:paraId="4BBDED06" w14:textId="1C7A8920" w:rsidR="00380ED1" w:rsidRPr="00916B56" w:rsidRDefault="00380ED1"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Looking ahead, EV</w:t>
      </w:r>
      <w:r w:rsidR="007E30BB">
        <w:rPr>
          <w:rFonts w:ascii="Times New Roman" w:hAnsi="Times New Roman" w:cs="Times New Roman"/>
          <w:szCs w:val="21"/>
        </w:rPr>
        <w:t xml:space="preserve"> </w:t>
      </w:r>
      <w:r w:rsidRPr="00916B56">
        <w:rPr>
          <w:rFonts w:ascii="Times New Roman" w:hAnsi="Times New Roman" w:cs="Times New Roman" w:hint="eastAsia"/>
          <w:szCs w:val="21"/>
        </w:rPr>
        <w:t>Tank forecasts that global N</w:t>
      </w:r>
      <w:r w:rsidRPr="00916B56">
        <w:rPr>
          <w:rFonts w:ascii="Times New Roman" w:hAnsi="Times New Roman" w:cs="Times New Roman"/>
          <w:szCs w:val="21"/>
        </w:rPr>
        <w:t xml:space="preserve">ew </w:t>
      </w:r>
      <w:r w:rsidRPr="00916B56">
        <w:rPr>
          <w:rFonts w:ascii="Times New Roman" w:hAnsi="Times New Roman" w:cs="Times New Roman" w:hint="eastAsia"/>
          <w:szCs w:val="21"/>
        </w:rPr>
        <w:t>E</w:t>
      </w:r>
      <w:r w:rsidRPr="00916B56">
        <w:rPr>
          <w:rFonts w:ascii="Times New Roman" w:hAnsi="Times New Roman" w:cs="Times New Roman"/>
          <w:szCs w:val="21"/>
        </w:rPr>
        <w:t xml:space="preserve">nergy </w:t>
      </w:r>
      <w:r w:rsidRPr="00916B56">
        <w:rPr>
          <w:rFonts w:ascii="Times New Roman" w:hAnsi="Times New Roman" w:cs="Times New Roman" w:hint="eastAsia"/>
          <w:szCs w:val="21"/>
        </w:rPr>
        <w:t>V</w:t>
      </w:r>
      <w:r w:rsidRPr="00916B56">
        <w:rPr>
          <w:rFonts w:ascii="Times New Roman" w:hAnsi="Times New Roman" w:cs="Times New Roman"/>
          <w:szCs w:val="21"/>
        </w:rPr>
        <w:t>ehicles</w:t>
      </w:r>
      <w:r w:rsidRPr="00916B56">
        <w:rPr>
          <w:rFonts w:ascii="Times New Roman" w:hAnsi="Times New Roman" w:cs="Times New Roman" w:hint="eastAsia"/>
          <w:szCs w:val="21"/>
        </w:rPr>
        <w:t xml:space="preserve"> sales will reach 28.496 million units in 2026, including 19.796 million units in China. By 2030, global N</w:t>
      </w:r>
      <w:r w:rsidRPr="00916B56">
        <w:rPr>
          <w:rFonts w:ascii="Times New Roman" w:hAnsi="Times New Roman" w:cs="Times New Roman"/>
          <w:szCs w:val="21"/>
        </w:rPr>
        <w:t xml:space="preserve">ew </w:t>
      </w:r>
      <w:r w:rsidRPr="00916B56">
        <w:rPr>
          <w:rFonts w:ascii="Times New Roman" w:hAnsi="Times New Roman" w:cs="Times New Roman" w:hint="eastAsia"/>
          <w:szCs w:val="21"/>
        </w:rPr>
        <w:t>E</w:t>
      </w:r>
      <w:r w:rsidRPr="00916B56">
        <w:rPr>
          <w:rFonts w:ascii="Times New Roman" w:hAnsi="Times New Roman" w:cs="Times New Roman"/>
          <w:szCs w:val="21"/>
        </w:rPr>
        <w:t xml:space="preserve">nergy </w:t>
      </w:r>
      <w:r w:rsidRPr="00916B56">
        <w:rPr>
          <w:rFonts w:ascii="Times New Roman" w:hAnsi="Times New Roman" w:cs="Times New Roman" w:hint="eastAsia"/>
          <w:szCs w:val="21"/>
        </w:rPr>
        <w:t>V</w:t>
      </w:r>
      <w:r w:rsidRPr="00916B56">
        <w:rPr>
          <w:rFonts w:ascii="Times New Roman" w:hAnsi="Times New Roman" w:cs="Times New Roman"/>
          <w:szCs w:val="21"/>
        </w:rPr>
        <w:t>ehicles</w:t>
      </w:r>
      <w:r w:rsidRPr="00916B56">
        <w:rPr>
          <w:rFonts w:ascii="Times New Roman" w:hAnsi="Times New Roman" w:cs="Times New Roman" w:hint="eastAsia"/>
          <w:szCs w:val="21"/>
        </w:rPr>
        <w:t xml:space="preserve"> sales are expected to reach 42.650 million units, with overall market penetration exceeding 40%.</w:t>
      </w:r>
    </w:p>
    <w:p w14:paraId="105BEAF6" w14:textId="1378A622" w:rsidR="00380ED1" w:rsidRPr="00916B56" w:rsidRDefault="00380ED1"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In line with the rapid expansion of the N</w:t>
      </w:r>
      <w:r w:rsidRPr="00916B56">
        <w:rPr>
          <w:rFonts w:ascii="Times New Roman" w:hAnsi="Times New Roman" w:cs="Times New Roman"/>
          <w:szCs w:val="21"/>
        </w:rPr>
        <w:t xml:space="preserve">ew </w:t>
      </w:r>
      <w:r w:rsidRPr="00916B56">
        <w:rPr>
          <w:rFonts w:ascii="Times New Roman" w:hAnsi="Times New Roman" w:cs="Times New Roman" w:hint="eastAsia"/>
          <w:szCs w:val="21"/>
        </w:rPr>
        <w:t>E</w:t>
      </w:r>
      <w:r w:rsidRPr="00916B56">
        <w:rPr>
          <w:rFonts w:ascii="Times New Roman" w:hAnsi="Times New Roman" w:cs="Times New Roman"/>
          <w:szCs w:val="21"/>
        </w:rPr>
        <w:t xml:space="preserve">nergy </w:t>
      </w:r>
      <w:r w:rsidRPr="00916B56">
        <w:rPr>
          <w:rFonts w:ascii="Times New Roman" w:hAnsi="Times New Roman" w:cs="Times New Roman" w:hint="eastAsia"/>
          <w:szCs w:val="21"/>
        </w:rPr>
        <w:t>V</w:t>
      </w:r>
      <w:r w:rsidRPr="00916B56">
        <w:rPr>
          <w:rFonts w:ascii="Times New Roman" w:hAnsi="Times New Roman" w:cs="Times New Roman"/>
          <w:szCs w:val="21"/>
        </w:rPr>
        <w:t>ehicles</w:t>
      </w:r>
      <w:r w:rsidRPr="00916B56">
        <w:rPr>
          <w:rFonts w:ascii="Times New Roman" w:hAnsi="Times New Roman" w:cs="Times New Roman" w:hint="eastAsia"/>
          <w:szCs w:val="21"/>
        </w:rPr>
        <w:t xml:space="preserve"> market, global power battery shipments continued to grow strongly in 2025. Driven by factors such as China vehicle replacement policies, accelerated launches of new models, and rapid growth in exports, global power battery shipments increased by 42.2% year-on-year, reaching 1,495.2 </w:t>
      </w:r>
      <w:proofErr w:type="spellStart"/>
      <w:r w:rsidRPr="00916B56">
        <w:rPr>
          <w:rFonts w:ascii="Times New Roman" w:hAnsi="Times New Roman" w:cs="Times New Roman" w:hint="eastAsia"/>
          <w:szCs w:val="21"/>
        </w:rPr>
        <w:t>GWh</w:t>
      </w:r>
      <w:proofErr w:type="spellEnd"/>
      <w:r w:rsidRPr="00916B56">
        <w:rPr>
          <w:rFonts w:ascii="Times New Roman" w:hAnsi="Times New Roman" w:cs="Times New Roman" w:hint="eastAsia"/>
          <w:szCs w:val="21"/>
        </w:rPr>
        <w:t>.</w:t>
      </w:r>
    </w:p>
    <w:p w14:paraId="2278EBD1" w14:textId="31519072" w:rsidR="00380ED1" w:rsidRPr="00916B56" w:rsidRDefault="00380ED1"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This growth not only reflects the increasing penetration of new energy vehicles worldwide but also underscores the pivotal role of China</w:t>
      </w:r>
      <w:proofErr w:type="gramStart"/>
      <w:r w:rsidRPr="00916B56">
        <w:rPr>
          <w:rFonts w:ascii="Times New Roman" w:hAnsi="Times New Roman" w:cs="Times New Roman" w:hint="eastAsia"/>
          <w:szCs w:val="21"/>
        </w:rPr>
        <w:t>’</w:t>
      </w:r>
      <w:proofErr w:type="gramEnd"/>
      <w:r w:rsidRPr="00916B56">
        <w:rPr>
          <w:rFonts w:ascii="Times New Roman" w:hAnsi="Times New Roman" w:cs="Times New Roman" w:hint="eastAsia"/>
          <w:szCs w:val="21"/>
        </w:rPr>
        <w:t>s power battery industry within the global supply chain.</w:t>
      </w:r>
    </w:p>
    <w:p w14:paraId="3D860CE0" w14:textId="77777777"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2. Energy Storage Batteries</w:t>
      </w:r>
    </w:p>
    <w:p w14:paraId="5AA8B5E7" w14:textId="42CE1A01" w:rsidR="00E63A80" w:rsidRPr="00916B56" w:rsidRDefault="00792EB2" w:rsidP="00CC71BF">
      <w:pPr>
        <w:spacing w:line="360" w:lineRule="auto"/>
        <w:ind w:firstLineChars="200" w:firstLine="420"/>
        <w:rPr>
          <w:rFonts w:ascii="Times New Roman" w:hAnsi="Times New Roman" w:cs="Times New Roman"/>
          <w:szCs w:val="21"/>
        </w:rPr>
      </w:pPr>
      <w:r>
        <w:rPr>
          <w:rFonts w:ascii="Times New Roman" w:hAnsi="Times New Roman" w:cs="Times New Roman"/>
          <w:szCs w:val="21"/>
        </w:rPr>
        <w:t>In 2025, Chin</w:t>
      </w:r>
      <w:r>
        <w:rPr>
          <w:rFonts w:ascii="Times New Roman" w:hAnsi="Times New Roman" w:cs="Times New Roman" w:hint="eastAsia"/>
          <w:szCs w:val="21"/>
        </w:rPr>
        <w:t>ese</w:t>
      </w:r>
      <w:r w:rsidR="00E63A80" w:rsidRPr="00916B56">
        <w:rPr>
          <w:rFonts w:ascii="Times New Roman" w:hAnsi="Times New Roman" w:cs="Times New Roman"/>
          <w:szCs w:val="21"/>
        </w:rPr>
        <w:t xml:space="preserve"> energy storage market </w:t>
      </w:r>
      <w:r w:rsidR="00C83D96" w:rsidRPr="00916B56">
        <w:rPr>
          <w:rFonts w:ascii="Times New Roman" w:hAnsi="Times New Roman" w:cs="Times New Roman" w:hint="eastAsia"/>
          <w:szCs w:val="21"/>
        </w:rPr>
        <w:t xml:space="preserve">underwent a critical transition </w:t>
      </w:r>
      <w:r w:rsidR="00E63A80" w:rsidRPr="00916B56">
        <w:rPr>
          <w:rFonts w:ascii="Times New Roman" w:hAnsi="Times New Roman" w:cs="Times New Roman"/>
          <w:szCs w:val="21"/>
        </w:rPr>
        <w:t>from</w:t>
      </w:r>
      <w:r w:rsidR="00C83D96" w:rsidRPr="00916B56">
        <w:rPr>
          <w:rFonts w:ascii="Times New Roman" w:hAnsi="Times New Roman" w:cs="Times New Roman" w:hint="eastAsia"/>
          <w:szCs w:val="21"/>
        </w:rPr>
        <w:t>-</w:t>
      </w:r>
      <w:r w:rsidR="00E63A80" w:rsidRPr="00916B56">
        <w:rPr>
          <w:rFonts w:ascii="Times New Roman" w:hAnsi="Times New Roman" w:cs="Times New Roman"/>
          <w:szCs w:val="21"/>
        </w:rPr>
        <w:t>mandatory energy storage allocation to market-oriented operation</w:t>
      </w:r>
      <w:r w:rsidR="00C83D96" w:rsidRPr="00916B56">
        <w:rPr>
          <w:rFonts w:ascii="Times New Roman" w:hAnsi="Times New Roman" w:cs="Times New Roman" w:hint="eastAsia"/>
          <w:szCs w:val="21"/>
        </w:rPr>
        <w:t>-</w:t>
      </w:r>
      <w:r w:rsidR="00E63A80" w:rsidRPr="00916B56">
        <w:rPr>
          <w:rFonts w:ascii="Times New Roman" w:hAnsi="Times New Roman" w:cs="Times New Roman"/>
          <w:szCs w:val="21"/>
        </w:rPr>
        <w:t xml:space="preserve">under the guidance of policies such as the </w:t>
      </w:r>
      <w:r w:rsidR="00E63A80" w:rsidRPr="00916B56">
        <w:rPr>
          <w:rFonts w:ascii="Times New Roman" w:hAnsi="Times New Roman" w:cs="Times New Roman"/>
          <w:i/>
          <w:iCs/>
          <w:szCs w:val="21"/>
        </w:rPr>
        <w:t>Notice on Deepening the Market-oriented Reform of New Energy On-grid Electricity Prices to Promote the High-quality Development of New Energy</w:t>
      </w:r>
      <w:r w:rsidR="00E63A80" w:rsidRPr="00916B56">
        <w:rPr>
          <w:rFonts w:ascii="Times New Roman" w:hAnsi="Times New Roman" w:cs="Times New Roman"/>
          <w:szCs w:val="21"/>
        </w:rPr>
        <w:t xml:space="preserve"> issued by the National Development and Reform Commission. Subsequent supporting policies were </w:t>
      </w:r>
      <w:r w:rsidR="00C83D96" w:rsidRPr="00916B56">
        <w:rPr>
          <w:rFonts w:ascii="Times New Roman" w:hAnsi="Times New Roman" w:cs="Times New Roman" w:hint="eastAsia"/>
          <w:szCs w:val="21"/>
        </w:rPr>
        <w:t>further refined</w:t>
      </w:r>
      <w:r w:rsidR="00E63A80" w:rsidRPr="00916B56">
        <w:rPr>
          <w:rFonts w:ascii="Times New Roman" w:hAnsi="Times New Roman" w:cs="Times New Roman"/>
          <w:szCs w:val="21"/>
        </w:rPr>
        <w:t xml:space="preserve">, accelerating the commercialization of energy storage </w:t>
      </w:r>
      <w:r w:rsidR="00C83D96" w:rsidRPr="00916B56">
        <w:rPr>
          <w:rFonts w:ascii="Times New Roman" w:hAnsi="Times New Roman" w:cs="Times New Roman" w:hint="eastAsia"/>
          <w:szCs w:val="21"/>
        </w:rPr>
        <w:t xml:space="preserve">through the establishment </w:t>
      </w:r>
      <w:r w:rsidR="00E63A80" w:rsidRPr="00916B56">
        <w:rPr>
          <w:rFonts w:ascii="Times New Roman" w:hAnsi="Times New Roman" w:cs="Times New Roman"/>
          <w:szCs w:val="21"/>
        </w:rPr>
        <w:t xml:space="preserve">a unified national electricity market and </w:t>
      </w:r>
      <w:r w:rsidR="00C83D96" w:rsidRPr="00916B56">
        <w:rPr>
          <w:rFonts w:ascii="Times New Roman" w:hAnsi="Times New Roman" w:cs="Times New Roman" w:hint="eastAsia"/>
          <w:szCs w:val="21"/>
        </w:rPr>
        <w:t xml:space="preserve">the </w:t>
      </w:r>
      <w:r w:rsidR="00C83D96" w:rsidRPr="00916B56">
        <w:rPr>
          <w:rFonts w:ascii="Times New Roman" w:hAnsi="Times New Roman" w:cs="Times New Roman"/>
          <w:szCs w:val="21"/>
        </w:rPr>
        <w:t>diversification</w:t>
      </w:r>
      <w:r w:rsidR="00C83D96" w:rsidRPr="00916B56">
        <w:rPr>
          <w:rFonts w:ascii="Times New Roman" w:hAnsi="Times New Roman" w:cs="Times New Roman" w:hint="eastAsia"/>
          <w:szCs w:val="21"/>
        </w:rPr>
        <w:t xml:space="preserve"> of revenue </w:t>
      </w:r>
      <w:r w:rsidR="00E63A80" w:rsidRPr="00916B56">
        <w:rPr>
          <w:rFonts w:ascii="Times New Roman" w:hAnsi="Times New Roman" w:cs="Times New Roman"/>
          <w:szCs w:val="21"/>
        </w:rPr>
        <w:t xml:space="preserve">mechanisms. Many local governments have issued implementation rules, capacity subsidy policies, "new energy doubling plans" and other measures, driving </w:t>
      </w:r>
      <w:r w:rsidR="0055281D" w:rsidRPr="00916B56">
        <w:rPr>
          <w:rFonts w:ascii="Times New Roman" w:hAnsi="Times New Roman" w:cs="Times New Roman" w:hint="eastAsia"/>
          <w:szCs w:val="21"/>
        </w:rPr>
        <w:t>rapid</w:t>
      </w:r>
      <w:r w:rsidR="0055281D" w:rsidRPr="00916B56">
        <w:rPr>
          <w:rFonts w:ascii="Times New Roman" w:hAnsi="Times New Roman" w:cs="Times New Roman"/>
          <w:szCs w:val="21"/>
        </w:rPr>
        <w:t xml:space="preserve"> </w:t>
      </w:r>
      <w:r w:rsidR="00E63A80" w:rsidRPr="00916B56">
        <w:rPr>
          <w:rFonts w:ascii="Times New Roman" w:hAnsi="Times New Roman" w:cs="Times New Roman"/>
          <w:szCs w:val="21"/>
        </w:rPr>
        <w:t>market</w:t>
      </w:r>
      <w:r w:rsidR="00C83D96" w:rsidRPr="00916B56">
        <w:rPr>
          <w:rFonts w:ascii="Times New Roman" w:hAnsi="Times New Roman" w:cs="Times New Roman" w:hint="eastAsia"/>
          <w:szCs w:val="21"/>
        </w:rPr>
        <w:t xml:space="preserve"> expansion</w:t>
      </w:r>
      <w:r w:rsidR="00E63A80" w:rsidRPr="00916B56">
        <w:rPr>
          <w:rFonts w:ascii="Times New Roman" w:hAnsi="Times New Roman" w:cs="Times New Roman"/>
          <w:szCs w:val="21"/>
        </w:rPr>
        <w:t>.</w:t>
      </w:r>
    </w:p>
    <w:p w14:paraId="1D174ED7" w14:textId="79B18C99" w:rsidR="00EB2ED6"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The demand in the U.S. energy storage market was affected by fluctuations in tariff policies. As</w:t>
      </w:r>
      <w:r w:rsidRPr="00916B56">
        <w:rPr>
          <w:rFonts w:ascii="Times New Roman" w:hAnsi="Times New Roman" w:cs="Times New Roman"/>
          <w:strike/>
          <w:szCs w:val="21"/>
        </w:rPr>
        <w:t xml:space="preserve"> </w:t>
      </w:r>
      <w:r w:rsidRPr="00916B56">
        <w:rPr>
          <w:rFonts w:ascii="Times New Roman" w:hAnsi="Times New Roman" w:cs="Times New Roman"/>
          <w:szCs w:val="21"/>
        </w:rPr>
        <w:t>Sino-U.S. tariff negotiations became clearer,</w:t>
      </w:r>
      <w:r w:rsidR="00EB2ED6" w:rsidRPr="00916B56">
        <w:rPr>
          <w:rFonts w:ascii="Times New Roman" w:hAnsi="Times New Roman" w:cs="Times New Roman" w:hint="eastAsia"/>
          <w:szCs w:val="21"/>
        </w:rPr>
        <w:t xml:space="preserve"> the earlier surge in export activity gradually stabilized</w:t>
      </w:r>
      <w:r w:rsidR="00944BAD" w:rsidRPr="00916B56">
        <w:rPr>
          <w:rFonts w:ascii="Times New Roman" w:hAnsi="Times New Roman" w:cs="Times New Roman"/>
          <w:szCs w:val="21"/>
        </w:rPr>
        <w:t>.</w:t>
      </w:r>
      <w:r w:rsidRPr="00916B56">
        <w:rPr>
          <w:rFonts w:ascii="Times New Roman" w:hAnsi="Times New Roman" w:cs="Times New Roman"/>
          <w:szCs w:val="21"/>
        </w:rPr>
        <w:t xml:space="preserve"> </w:t>
      </w:r>
      <w:r w:rsidR="00EB2ED6" w:rsidRPr="00916B56">
        <w:rPr>
          <w:rFonts w:ascii="Times New Roman" w:hAnsi="Times New Roman" w:cs="Times New Roman" w:hint="eastAsia"/>
          <w:szCs w:val="21"/>
        </w:rPr>
        <w:t>Looking ahead, strong demand from data centers and other sectors</w:t>
      </w:r>
      <w:r w:rsidRPr="00916B56">
        <w:rPr>
          <w:rFonts w:ascii="Times New Roman" w:hAnsi="Times New Roman" w:cs="Times New Roman"/>
          <w:szCs w:val="21"/>
        </w:rPr>
        <w:t xml:space="preserve"> is expected to maintain sustained growth</w:t>
      </w:r>
      <w:r w:rsidR="00EB2ED6" w:rsidRPr="00916B56">
        <w:rPr>
          <w:rFonts w:ascii="Times New Roman" w:hAnsi="Times New Roman" w:cs="Times New Roman" w:hint="eastAsia"/>
          <w:szCs w:val="21"/>
        </w:rPr>
        <w:t xml:space="preserve"> in the U.S. market</w:t>
      </w:r>
      <w:r w:rsidRPr="00916B56">
        <w:rPr>
          <w:rFonts w:ascii="Times New Roman" w:hAnsi="Times New Roman" w:cs="Times New Roman"/>
          <w:szCs w:val="21"/>
        </w:rPr>
        <w:t xml:space="preserve">. </w:t>
      </w:r>
    </w:p>
    <w:p w14:paraId="15575888" w14:textId="7AD400F0"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The European market has undergone structural transformation under the combined influence</w:t>
      </w:r>
      <w:r w:rsidR="00AA403F" w:rsidRPr="00916B56">
        <w:rPr>
          <w:rFonts w:ascii="Times New Roman" w:hAnsi="Times New Roman" w:cs="Times New Roman" w:hint="eastAsia"/>
          <w:szCs w:val="21"/>
        </w:rPr>
        <w:t>s</w:t>
      </w:r>
      <w:r w:rsidRPr="00916B56">
        <w:rPr>
          <w:rFonts w:ascii="Times New Roman" w:hAnsi="Times New Roman" w:cs="Times New Roman"/>
          <w:szCs w:val="21"/>
        </w:rPr>
        <w:t xml:space="preserve"> of clear policy support and emergencies (such as large-scale power outages). Grid-side energy storage</w:t>
      </w:r>
      <w:r w:rsidR="001104F4" w:rsidRPr="00916B56">
        <w:rPr>
          <w:rFonts w:ascii="Times New Roman" w:hAnsi="Times New Roman" w:cs="Times New Roman" w:hint="eastAsia"/>
          <w:szCs w:val="21"/>
        </w:rPr>
        <w:t xml:space="preserve"> benefited from supportive policies</w:t>
      </w:r>
      <w:r w:rsidRPr="00916B56">
        <w:rPr>
          <w:rFonts w:ascii="Times New Roman" w:hAnsi="Times New Roman" w:cs="Times New Roman"/>
          <w:szCs w:val="21"/>
        </w:rPr>
        <w:t xml:space="preserve">, and residential energy storage </w:t>
      </w:r>
      <w:r w:rsidR="00944BAD" w:rsidRPr="00916B56">
        <w:rPr>
          <w:rFonts w:ascii="Times New Roman" w:hAnsi="Times New Roman" w:cs="Times New Roman" w:hint="eastAsia"/>
          <w:szCs w:val="21"/>
        </w:rPr>
        <w:t>saw robus</w:t>
      </w:r>
      <w:r w:rsidR="00944BAD" w:rsidRPr="00916B56">
        <w:rPr>
          <w:rFonts w:ascii="Times New Roman" w:hAnsi="Times New Roman" w:cs="Times New Roman"/>
          <w:szCs w:val="21"/>
        </w:rPr>
        <w:t xml:space="preserve">t </w:t>
      </w:r>
      <w:r w:rsidRPr="00916B56">
        <w:rPr>
          <w:rFonts w:ascii="Times New Roman" w:hAnsi="Times New Roman" w:cs="Times New Roman"/>
          <w:szCs w:val="21"/>
        </w:rPr>
        <w:t>growth driven by expectation</w:t>
      </w:r>
      <w:r w:rsidR="001104F4" w:rsidRPr="00916B56">
        <w:rPr>
          <w:rFonts w:ascii="Times New Roman" w:hAnsi="Times New Roman" w:cs="Times New Roman" w:hint="eastAsia"/>
          <w:szCs w:val="21"/>
        </w:rPr>
        <w:t>s</w:t>
      </w:r>
      <w:r w:rsidRPr="00916B56">
        <w:rPr>
          <w:rFonts w:ascii="Times New Roman" w:hAnsi="Times New Roman" w:cs="Times New Roman"/>
          <w:szCs w:val="21"/>
        </w:rPr>
        <w:t xml:space="preserve"> of subsidy reduction</w:t>
      </w:r>
      <w:r w:rsidR="001104F4" w:rsidRPr="00916B56">
        <w:rPr>
          <w:rFonts w:ascii="Times New Roman" w:hAnsi="Times New Roman" w:cs="Times New Roman" w:hint="eastAsia"/>
          <w:szCs w:val="21"/>
        </w:rPr>
        <w:t>s</w:t>
      </w:r>
      <w:r w:rsidRPr="00916B56">
        <w:rPr>
          <w:rFonts w:ascii="Times New Roman" w:hAnsi="Times New Roman" w:cs="Times New Roman"/>
          <w:szCs w:val="21"/>
        </w:rPr>
        <w:t xml:space="preserve"> and safety demand. Emerging markets such as So</w:t>
      </w:r>
      <w:r w:rsidR="00944BAD" w:rsidRPr="00916B56">
        <w:rPr>
          <w:rFonts w:ascii="Times New Roman" w:hAnsi="Times New Roman" w:cs="Times New Roman"/>
          <w:szCs w:val="21"/>
        </w:rPr>
        <w:t xml:space="preserve">uthern Europe and Eastern Europe </w:t>
      </w:r>
      <w:r w:rsidRPr="00916B56">
        <w:rPr>
          <w:rFonts w:ascii="Times New Roman" w:hAnsi="Times New Roman" w:cs="Times New Roman"/>
          <w:szCs w:val="21"/>
        </w:rPr>
        <w:t xml:space="preserve">also </w:t>
      </w:r>
      <w:r w:rsidR="001104F4" w:rsidRPr="00916B56">
        <w:rPr>
          <w:rFonts w:ascii="Times New Roman" w:hAnsi="Times New Roman" w:cs="Times New Roman" w:hint="eastAsia"/>
          <w:szCs w:val="21"/>
        </w:rPr>
        <w:t xml:space="preserve">expanded </w:t>
      </w:r>
      <w:r w:rsidRPr="00916B56">
        <w:rPr>
          <w:rFonts w:ascii="Times New Roman" w:hAnsi="Times New Roman" w:cs="Times New Roman"/>
          <w:szCs w:val="21"/>
        </w:rPr>
        <w:t xml:space="preserve">rapidly under </w:t>
      </w:r>
      <w:r w:rsidR="001104F4" w:rsidRPr="00916B56">
        <w:rPr>
          <w:rFonts w:ascii="Times New Roman" w:hAnsi="Times New Roman" w:cs="Times New Roman" w:hint="eastAsia"/>
          <w:szCs w:val="21"/>
        </w:rPr>
        <w:t>policy support</w:t>
      </w:r>
      <w:r w:rsidRPr="00916B56">
        <w:rPr>
          <w:rFonts w:ascii="Times New Roman" w:hAnsi="Times New Roman" w:cs="Times New Roman"/>
          <w:szCs w:val="21"/>
        </w:rPr>
        <w:t>.</w:t>
      </w:r>
    </w:p>
    <w:p w14:paraId="52EC0550" w14:textId="3F8449FA"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Energy storage batteries have become the main </w:t>
      </w:r>
      <w:r w:rsidR="0055281D" w:rsidRPr="00916B56">
        <w:rPr>
          <w:rFonts w:ascii="Times New Roman" w:hAnsi="Times New Roman" w:cs="Times New Roman" w:hint="eastAsia"/>
          <w:szCs w:val="21"/>
        </w:rPr>
        <w:t xml:space="preserve">driver of </w:t>
      </w:r>
      <w:r w:rsidR="00944BAD" w:rsidRPr="00916B56">
        <w:rPr>
          <w:rFonts w:ascii="Times New Roman" w:hAnsi="Times New Roman" w:cs="Times New Roman"/>
          <w:szCs w:val="21"/>
        </w:rPr>
        <w:t xml:space="preserve">growth </w:t>
      </w:r>
      <w:r w:rsidR="0055281D" w:rsidRPr="00916B56">
        <w:rPr>
          <w:rFonts w:ascii="Times New Roman" w:hAnsi="Times New Roman" w:cs="Times New Roman" w:hint="eastAsia"/>
          <w:szCs w:val="21"/>
        </w:rPr>
        <w:t xml:space="preserve">in global </w:t>
      </w:r>
      <w:r w:rsidR="00944BAD" w:rsidRPr="00916B56">
        <w:rPr>
          <w:rFonts w:ascii="Times New Roman" w:hAnsi="Times New Roman" w:cs="Times New Roman"/>
          <w:szCs w:val="21"/>
        </w:rPr>
        <w:t xml:space="preserve">lithium-ion battery shipments. </w:t>
      </w:r>
      <w:r w:rsidRPr="00916B56">
        <w:rPr>
          <w:rFonts w:ascii="Times New Roman" w:hAnsi="Times New Roman" w:cs="Times New Roman"/>
          <w:szCs w:val="21"/>
        </w:rPr>
        <w:t>Against the</w:t>
      </w:r>
      <w:r w:rsidR="0055281D" w:rsidRPr="00916B56">
        <w:rPr>
          <w:rFonts w:ascii="Times New Roman" w:hAnsi="Times New Roman" w:cs="Times New Roman" w:hint="eastAsia"/>
          <w:szCs w:val="21"/>
        </w:rPr>
        <w:t xml:space="preserve"> </w:t>
      </w:r>
      <w:r w:rsidRPr="00916B56">
        <w:rPr>
          <w:rFonts w:ascii="Times New Roman" w:hAnsi="Times New Roman" w:cs="Times New Roman"/>
          <w:szCs w:val="21"/>
        </w:rPr>
        <w:t>background of the transformation of overseas power systems and the rapid growth of renewable energy installation, the demand for energy storage outside China has expanded significantly, driving the global shipment</w:t>
      </w:r>
      <w:r w:rsidR="00A9379A" w:rsidRPr="00916B56">
        <w:rPr>
          <w:rFonts w:ascii="Times New Roman" w:hAnsi="Times New Roman" w:cs="Times New Roman" w:hint="eastAsia"/>
          <w:szCs w:val="21"/>
        </w:rPr>
        <w:t>s</w:t>
      </w:r>
      <w:r w:rsidRPr="00916B56">
        <w:rPr>
          <w:rFonts w:ascii="Times New Roman" w:hAnsi="Times New Roman" w:cs="Times New Roman"/>
          <w:szCs w:val="21"/>
        </w:rPr>
        <w:t xml:space="preserve"> of energy storage batteries to 651.5GWh in 2025, a substantial year-on-year increase of 76.2%. Most of the shipments in this field </w:t>
      </w:r>
      <w:r w:rsidR="00A9379A" w:rsidRPr="00916B56">
        <w:rPr>
          <w:rFonts w:ascii="Times New Roman" w:hAnsi="Times New Roman" w:cs="Times New Roman" w:hint="eastAsia"/>
          <w:szCs w:val="21"/>
        </w:rPr>
        <w:t xml:space="preserve">were </w:t>
      </w:r>
      <w:r w:rsidRPr="00916B56">
        <w:rPr>
          <w:rFonts w:ascii="Times New Roman" w:hAnsi="Times New Roman" w:cs="Times New Roman"/>
          <w:szCs w:val="21"/>
        </w:rPr>
        <w:t>still completed by Chinese enterprises, and industry concentration continue</w:t>
      </w:r>
      <w:r w:rsidR="00A9379A" w:rsidRPr="00916B56">
        <w:rPr>
          <w:rFonts w:ascii="Times New Roman" w:hAnsi="Times New Roman" w:cs="Times New Roman" w:hint="eastAsia"/>
          <w:szCs w:val="21"/>
        </w:rPr>
        <w:t>d</w:t>
      </w:r>
      <w:r w:rsidRPr="00916B56">
        <w:rPr>
          <w:rFonts w:ascii="Times New Roman" w:hAnsi="Times New Roman" w:cs="Times New Roman"/>
          <w:szCs w:val="21"/>
        </w:rPr>
        <w:t xml:space="preserve"> to increase.</w:t>
      </w:r>
    </w:p>
    <w:p w14:paraId="4394B8D6" w14:textId="77777777"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3. Consumer Batteries</w:t>
      </w:r>
    </w:p>
    <w:p w14:paraId="3B83BD5D" w14:textId="39D3C6BE"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Compared with the high growth of energy storage and power batteries, small lithium-ion batteries showed </w:t>
      </w:r>
      <w:r w:rsidRPr="00916B56">
        <w:rPr>
          <w:rFonts w:ascii="Times New Roman" w:hAnsi="Times New Roman" w:cs="Times New Roman"/>
          <w:strike/>
          <w:szCs w:val="21"/>
        </w:rPr>
        <w:t>a</w:t>
      </w:r>
      <w:r w:rsidRPr="00916B56">
        <w:rPr>
          <w:rFonts w:ascii="Times New Roman" w:hAnsi="Times New Roman" w:cs="Times New Roman"/>
          <w:szCs w:val="21"/>
        </w:rPr>
        <w:t xml:space="preserve"> moderate growth trend in 2025, with global shipments of 133.9GWh, a year-on-year increase of 7.9%. Emerging fields such as AI terminals, humanoid robots, and electric vertical take-off and landing (e</w:t>
      </w:r>
      <w:r w:rsidR="00C016A5">
        <w:rPr>
          <w:rFonts w:ascii="Times New Roman" w:hAnsi="Times New Roman" w:cs="Times New Roman"/>
          <w:szCs w:val="21"/>
        </w:rPr>
        <w:t xml:space="preserve"> </w:t>
      </w:r>
      <w:r w:rsidRPr="00916B56">
        <w:rPr>
          <w:rFonts w:ascii="Times New Roman" w:hAnsi="Times New Roman" w:cs="Times New Roman"/>
          <w:szCs w:val="21"/>
        </w:rPr>
        <w:t xml:space="preserve">VTOL) are entering the early stage of industrialization. Although current scale is limited, </w:t>
      </w:r>
      <w:r w:rsidR="00A9379A" w:rsidRPr="00916B56">
        <w:rPr>
          <w:rFonts w:ascii="Times New Roman" w:hAnsi="Times New Roman" w:cs="Times New Roman" w:hint="eastAsia"/>
          <w:szCs w:val="21"/>
        </w:rPr>
        <w:t xml:space="preserve">these sectors present significant long-term growth potential </w:t>
      </w:r>
      <w:r w:rsidR="00944BAD" w:rsidRPr="00916B56">
        <w:rPr>
          <w:rFonts w:ascii="Times New Roman" w:hAnsi="Times New Roman" w:cs="Times New Roman"/>
          <w:szCs w:val="21"/>
        </w:rPr>
        <w:t>for the small battery market.</w:t>
      </w:r>
    </w:p>
    <w:p w14:paraId="48046789" w14:textId="22A00CA9" w:rsidR="00E63A80" w:rsidRPr="00916B56" w:rsidRDefault="00FE4263"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Overall, driven by the markets </w:t>
      </w:r>
      <w:r w:rsidR="00A9379A" w:rsidRPr="00916B56">
        <w:rPr>
          <w:rFonts w:ascii="Times New Roman" w:hAnsi="Times New Roman" w:cs="Times New Roman" w:hint="eastAsia"/>
          <w:szCs w:val="21"/>
        </w:rPr>
        <w:t xml:space="preserve">from </w:t>
      </w:r>
      <w:r w:rsidR="00E63A80" w:rsidRPr="00916B56">
        <w:rPr>
          <w:rFonts w:ascii="Times New Roman" w:hAnsi="Times New Roman" w:cs="Times New Roman"/>
          <w:szCs w:val="21"/>
        </w:rPr>
        <w:t>new energy vehicles, energy storage, small power</w:t>
      </w:r>
      <w:r w:rsidR="00A9379A" w:rsidRPr="00916B56">
        <w:rPr>
          <w:rFonts w:ascii="Times New Roman" w:hAnsi="Times New Roman" w:cs="Times New Roman" w:hint="eastAsia"/>
          <w:szCs w:val="21"/>
        </w:rPr>
        <w:t xml:space="preserve"> applications</w:t>
      </w:r>
      <w:r w:rsidR="00E63A80" w:rsidRPr="00916B56">
        <w:rPr>
          <w:rFonts w:ascii="Times New Roman" w:hAnsi="Times New Roman" w:cs="Times New Roman"/>
          <w:szCs w:val="21"/>
        </w:rPr>
        <w:t xml:space="preserve">, emerging consumer fields, etc., the global lithium-ion battery market continues to grow. </w:t>
      </w:r>
      <w:r w:rsidR="00AD23F2" w:rsidRPr="00916B56">
        <w:rPr>
          <w:rFonts w:ascii="Times New Roman" w:hAnsi="Times New Roman" w:cs="Times New Roman" w:hint="eastAsia"/>
          <w:szCs w:val="21"/>
        </w:rPr>
        <w:t>Looking ahead, sustained growth across these segments is expected to further drive the development of upstream industries,</w:t>
      </w:r>
      <w:r w:rsidR="00AD23F2" w:rsidRPr="00916B56">
        <w:rPr>
          <w:rFonts w:ascii="Times New Roman" w:hAnsi="Times New Roman" w:cs="Times New Roman"/>
          <w:szCs w:val="21"/>
        </w:rPr>
        <w:t xml:space="preserve"> </w:t>
      </w:r>
      <w:r w:rsidR="00AD23F2" w:rsidRPr="00916B56">
        <w:rPr>
          <w:rFonts w:ascii="Times New Roman" w:hAnsi="Times New Roman" w:cs="Times New Roman" w:hint="eastAsia"/>
          <w:szCs w:val="21"/>
        </w:rPr>
        <w:t xml:space="preserve">including </w:t>
      </w:r>
      <w:r w:rsidR="00E63A80" w:rsidRPr="00916B56">
        <w:rPr>
          <w:rFonts w:ascii="Times New Roman" w:hAnsi="Times New Roman" w:cs="Times New Roman"/>
          <w:szCs w:val="21"/>
        </w:rPr>
        <w:t>new energy</w:t>
      </w:r>
      <w:r w:rsidR="00896D0C" w:rsidRPr="00916B56">
        <w:rPr>
          <w:rFonts w:ascii="Times New Roman" w:hAnsi="Times New Roman" w:cs="Times New Roman"/>
          <w:szCs w:val="21"/>
        </w:rPr>
        <w:t xml:space="preserve"> battery materials and automation</w:t>
      </w:r>
      <w:r w:rsidR="00E63A80" w:rsidRPr="00916B56">
        <w:rPr>
          <w:rFonts w:ascii="Times New Roman" w:hAnsi="Times New Roman" w:cs="Times New Roman"/>
          <w:szCs w:val="21"/>
        </w:rPr>
        <w:t xml:space="preserve"> equipment.</w:t>
      </w:r>
    </w:p>
    <w:p w14:paraId="0E9D74AF" w14:textId="77777777" w:rsidR="00E63A80" w:rsidRPr="00916B56" w:rsidRDefault="00E63A80" w:rsidP="00CC71BF">
      <w:pPr>
        <w:spacing w:line="360" w:lineRule="auto"/>
        <w:rPr>
          <w:rFonts w:ascii="Times New Roman" w:hAnsi="Times New Roman" w:cs="Times New Roman"/>
          <w:b/>
          <w:szCs w:val="21"/>
        </w:rPr>
      </w:pPr>
      <w:r w:rsidRPr="00916B56">
        <w:rPr>
          <w:rFonts w:ascii="Times New Roman" w:hAnsi="Times New Roman" w:cs="Times New Roman"/>
          <w:b/>
          <w:szCs w:val="21"/>
        </w:rPr>
        <w:t>III. Discussion and Analysis of Operating Results</w:t>
      </w:r>
    </w:p>
    <w:p w14:paraId="64498C36" w14:textId="33DC4779" w:rsidR="000E410F"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In 2025, the global </w:t>
      </w:r>
      <w:r w:rsidR="000E410F" w:rsidRPr="00916B56">
        <w:rPr>
          <w:rFonts w:ascii="Times New Roman" w:hAnsi="Times New Roman" w:cs="Times New Roman" w:hint="eastAsia"/>
          <w:szCs w:val="21"/>
        </w:rPr>
        <w:t>automotive</w:t>
      </w:r>
      <w:r w:rsidR="000E410F" w:rsidRPr="00916B56">
        <w:rPr>
          <w:rFonts w:ascii="Times New Roman" w:hAnsi="Times New Roman" w:cs="Times New Roman"/>
          <w:szCs w:val="21"/>
        </w:rPr>
        <w:t xml:space="preserve"> </w:t>
      </w:r>
      <w:r w:rsidRPr="00916B56">
        <w:rPr>
          <w:rFonts w:ascii="Times New Roman" w:hAnsi="Times New Roman" w:cs="Times New Roman"/>
          <w:szCs w:val="21"/>
        </w:rPr>
        <w:t xml:space="preserve">market continued </w:t>
      </w:r>
      <w:r w:rsidR="000E410F" w:rsidRPr="00916B56">
        <w:rPr>
          <w:rFonts w:ascii="Times New Roman" w:hAnsi="Times New Roman" w:cs="Times New Roman" w:hint="eastAsia"/>
          <w:szCs w:val="21"/>
        </w:rPr>
        <w:t xml:space="preserve">its transition toward electrification and </w:t>
      </w:r>
      <w:proofErr w:type="spellStart"/>
      <w:r w:rsidR="000E410F" w:rsidRPr="00916B56">
        <w:rPr>
          <w:rFonts w:ascii="Times New Roman" w:hAnsi="Times New Roman" w:cs="Times New Roman" w:hint="eastAsia"/>
          <w:szCs w:val="21"/>
        </w:rPr>
        <w:t>intelligentization</w:t>
      </w:r>
      <w:proofErr w:type="spellEnd"/>
      <w:r w:rsidR="000E410F" w:rsidRPr="00916B56">
        <w:rPr>
          <w:rFonts w:ascii="Times New Roman" w:hAnsi="Times New Roman" w:cs="Times New Roman" w:hint="eastAsia"/>
          <w:szCs w:val="21"/>
        </w:rPr>
        <w:t xml:space="preserve">, while </w:t>
      </w:r>
      <w:r w:rsidRPr="00916B56">
        <w:rPr>
          <w:rFonts w:ascii="Times New Roman" w:hAnsi="Times New Roman" w:cs="Times New Roman"/>
          <w:szCs w:val="21"/>
        </w:rPr>
        <w:t xml:space="preserve">the demand in the energy storage market grew strongly, </w:t>
      </w:r>
      <w:r w:rsidR="000E410F" w:rsidRPr="00916B56">
        <w:rPr>
          <w:rFonts w:ascii="Times New Roman" w:hAnsi="Times New Roman" w:cs="Times New Roman" w:hint="eastAsia"/>
          <w:szCs w:val="21"/>
        </w:rPr>
        <w:t xml:space="preserve">and </w:t>
      </w:r>
      <w:r w:rsidRPr="00916B56">
        <w:rPr>
          <w:rFonts w:ascii="Times New Roman" w:hAnsi="Times New Roman" w:cs="Times New Roman"/>
          <w:szCs w:val="21"/>
        </w:rPr>
        <w:t>the consumer electronics market recovered</w:t>
      </w:r>
      <w:r w:rsidR="000E410F" w:rsidRPr="00916B56">
        <w:rPr>
          <w:rFonts w:ascii="Times New Roman" w:hAnsi="Times New Roman" w:cs="Times New Roman" w:hint="eastAsia"/>
          <w:szCs w:val="21"/>
        </w:rPr>
        <w:t>. Meanwhile</w:t>
      </w:r>
      <w:r w:rsidRPr="00916B56">
        <w:rPr>
          <w:rFonts w:ascii="Times New Roman" w:hAnsi="Times New Roman" w:cs="Times New Roman"/>
          <w:szCs w:val="21"/>
        </w:rPr>
        <w:t xml:space="preserve">, the phased destocking cycle of new energy batteries and materials </w:t>
      </w:r>
      <w:r w:rsidR="000E410F" w:rsidRPr="00916B56">
        <w:rPr>
          <w:rFonts w:ascii="Times New Roman" w:hAnsi="Times New Roman" w:cs="Times New Roman" w:hint="eastAsia"/>
          <w:szCs w:val="21"/>
        </w:rPr>
        <w:t xml:space="preserve">sectors concluded, </w:t>
      </w:r>
      <w:r w:rsidRPr="00916B56">
        <w:rPr>
          <w:rFonts w:ascii="Times New Roman" w:hAnsi="Times New Roman" w:cs="Times New Roman"/>
          <w:szCs w:val="21"/>
        </w:rPr>
        <w:t xml:space="preserve">and the industrial operating environment gradually improved. </w:t>
      </w:r>
    </w:p>
    <w:p w14:paraId="2132A755" w14:textId="023E60F9" w:rsidR="005369E7" w:rsidRPr="00916B56" w:rsidRDefault="000E410F"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Building on a foundation</w:t>
      </w:r>
      <w:r w:rsidR="00E63A80" w:rsidRPr="00916B56">
        <w:rPr>
          <w:rFonts w:ascii="Times New Roman" w:hAnsi="Times New Roman" w:cs="Times New Roman"/>
          <w:szCs w:val="21"/>
        </w:rPr>
        <w:t xml:space="preserve"> of steady operation, the business divisions of the Group actively implement</w:t>
      </w:r>
      <w:r w:rsidRPr="00916B56">
        <w:rPr>
          <w:rFonts w:ascii="Times New Roman" w:hAnsi="Times New Roman" w:cs="Times New Roman" w:hint="eastAsia"/>
          <w:szCs w:val="21"/>
        </w:rPr>
        <w:t>ed</w:t>
      </w:r>
      <w:r w:rsidR="00E63A80" w:rsidRPr="00916B56">
        <w:rPr>
          <w:rFonts w:ascii="Times New Roman" w:hAnsi="Times New Roman" w:cs="Times New Roman"/>
          <w:szCs w:val="21"/>
        </w:rPr>
        <w:t xml:space="preserve"> business measures such as quality improvement and efficiency enhancement, strengthened integrated </w:t>
      </w:r>
      <w:r w:rsidRPr="00916B56">
        <w:rPr>
          <w:rFonts w:ascii="Times New Roman" w:hAnsi="Times New Roman" w:cs="Times New Roman" w:hint="eastAsia"/>
          <w:szCs w:val="21"/>
        </w:rPr>
        <w:t>synergies</w:t>
      </w:r>
      <w:r w:rsidRPr="00916B56">
        <w:rPr>
          <w:rFonts w:ascii="Times New Roman" w:hAnsi="Times New Roman" w:cs="Times New Roman"/>
          <w:szCs w:val="21"/>
        </w:rPr>
        <w:t xml:space="preserve"> </w:t>
      </w:r>
      <w:r w:rsidRPr="00916B56">
        <w:rPr>
          <w:rFonts w:ascii="Times New Roman" w:hAnsi="Times New Roman" w:cs="Times New Roman" w:hint="eastAsia"/>
          <w:szCs w:val="21"/>
        </w:rPr>
        <w:t xml:space="preserve">across </w:t>
      </w:r>
      <w:r w:rsidR="00E63A80" w:rsidRPr="00916B56">
        <w:rPr>
          <w:rFonts w:ascii="Times New Roman" w:hAnsi="Times New Roman" w:cs="Times New Roman"/>
          <w:szCs w:val="21"/>
        </w:rPr>
        <w:t>business segment</w:t>
      </w:r>
      <w:r w:rsidRPr="00916B56">
        <w:rPr>
          <w:rFonts w:ascii="Times New Roman" w:hAnsi="Times New Roman" w:cs="Times New Roman" w:hint="eastAsia"/>
          <w:szCs w:val="21"/>
        </w:rPr>
        <w:t>s</w:t>
      </w:r>
      <w:r w:rsidR="00E63A80" w:rsidRPr="00916B56">
        <w:rPr>
          <w:rFonts w:ascii="Times New Roman" w:hAnsi="Times New Roman" w:cs="Times New Roman"/>
          <w:szCs w:val="21"/>
        </w:rPr>
        <w:t>,</w:t>
      </w:r>
      <w:r w:rsidR="00944BAD" w:rsidRPr="00916B56">
        <w:rPr>
          <w:rFonts w:ascii="Times New Roman" w:hAnsi="Times New Roman" w:cs="Times New Roman"/>
          <w:szCs w:val="21"/>
        </w:rPr>
        <w:t xml:space="preserve"> closely cooperated with the R&amp;D </w:t>
      </w:r>
      <w:r w:rsidR="00E63A80" w:rsidRPr="00916B56">
        <w:rPr>
          <w:rFonts w:ascii="Times New Roman" w:hAnsi="Times New Roman" w:cs="Times New Roman"/>
          <w:szCs w:val="21"/>
        </w:rPr>
        <w:t xml:space="preserve">and collaboration </w:t>
      </w:r>
      <w:r w:rsidRPr="00916B56">
        <w:rPr>
          <w:rFonts w:ascii="Times New Roman" w:hAnsi="Times New Roman" w:cs="Times New Roman" w:hint="eastAsia"/>
          <w:szCs w:val="21"/>
        </w:rPr>
        <w:t xml:space="preserve">needs </w:t>
      </w:r>
      <w:r w:rsidR="00E63A80" w:rsidRPr="00916B56">
        <w:rPr>
          <w:rFonts w:ascii="Times New Roman" w:hAnsi="Times New Roman" w:cs="Times New Roman"/>
          <w:szCs w:val="21"/>
        </w:rPr>
        <w:t xml:space="preserve">of core customers, </w:t>
      </w:r>
      <w:r w:rsidRPr="00916B56">
        <w:rPr>
          <w:rFonts w:ascii="Times New Roman" w:hAnsi="Times New Roman" w:cs="Times New Roman" w:hint="eastAsia"/>
          <w:szCs w:val="21"/>
        </w:rPr>
        <w:t xml:space="preserve">and </w:t>
      </w:r>
      <w:r w:rsidR="00E63A80" w:rsidRPr="00916B56">
        <w:rPr>
          <w:rFonts w:ascii="Times New Roman" w:hAnsi="Times New Roman" w:cs="Times New Roman"/>
          <w:szCs w:val="21"/>
        </w:rPr>
        <w:t xml:space="preserve">continuously introduced new products, processes and </w:t>
      </w:r>
      <w:r w:rsidR="005369E7" w:rsidRPr="00916B56">
        <w:rPr>
          <w:rFonts w:ascii="Times New Roman" w:hAnsi="Times New Roman" w:cs="Times New Roman" w:hint="eastAsia"/>
          <w:szCs w:val="21"/>
        </w:rPr>
        <w:t xml:space="preserve">advanced </w:t>
      </w:r>
      <w:r w:rsidR="00E63A80" w:rsidRPr="00916B56">
        <w:rPr>
          <w:rFonts w:ascii="Times New Roman" w:hAnsi="Times New Roman" w:cs="Times New Roman"/>
          <w:szCs w:val="21"/>
        </w:rPr>
        <w:t>production capacity</w:t>
      </w:r>
      <w:r w:rsidR="005369E7" w:rsidRPr="00916B56">
        <w:rPr>
          <w:rFonts w:ascii="Times New Roman" w:hAnsi="Times New Roman" w:cs="Times New Roman" w:hint="eastAsia"/>
          <w:szCs w:val="21"/>
        </w:rPr>
        <w:t>.</w:t>
      </w:r>
      <w:r w:rsidR="00E63A80" w:rsidRPr="00916B56">
        <w:rPr>
          <w:rFonts w:ascii="Times New Roman" w:hAnsi="Times New Roman" w:cs="Times New Roman"/>
          <w:szCs w:val="21"/>
        </w:rPr>
        <w:t xml:space="preserve">, </w:t>
      </w:r>
      <w:r w:rsidR="005369E7" w:rsidRPr="00916B56">
        <w:rPr>
          <w:rFonts w:ascii="Times New Roman" w:hAnsi="Times New Roman" w:cs="Times New Roman" w:hint="eastAsia"/>
          <w:szCs w:val="21"/>
        </w:rPr>
        <w:t xml:space="preserve">By </w:t>
      </w:r>
      <w:r w:rsidR="00E63A80" w:rsidRPr="00916B56">
        <w:rPr>
          <w:rFonts w:ascii="Times New Roman" w:hAnsi="Times New Roman" w:cs="Times New Roman"/>
          <w:szCs w:val="21"/>
        </w:rPr>
        <w:t xml:space="preserve">effectively </w:t>
      </w:r>
      <w:r w:rsidR="005369E7" w:rsidRPr="00916B56">
        <w:rPr>
          <w:rFonts w:ascii="Times New Roman" w:hAnsi="Times New Roman" w:cs="Times New Roman" w:hint="eastAsia"/>
          <w:szCs w:val="21"/>
        </w:rPr>
        <w:t>capturing</w:t>
      </w:r>
      <w:r w:rsidR="00E63A80" w:rsidRPr="00916B56">
        <w:rPr>
          <w:rFonts w:ascii="Times New Roman" w:hAnsi="Times New Roman" w:cs="Times New Roman"/>
          <w:szCs w:val="21"/>
        </w:rPr>
        <w:t xml:space="preserve"> and </w:t>
      </w:r>
      <w:r w:rsidR="005369E7" w:rsidRPr="00916B56">
        <w:rPr>
          <w:rFonts w:ascii="Times New Roman" w:hAnsi="Times New Roman" w:cs="Times New Roman" w:hint="eastAsia"/>
          <w:szCs w:val="21"/>
        </w:rPr>
        <w:t>responding</w:t>
      </w:r>
      <w:r w:rsidR="005369E7" w:rsidRPr="00916B56">
        <w:rPr>
          <w:rFonts w:ascii="Times New Roman" w:hAnsi="Times New Roman" w:cs="Times New Roman"/>
          <w:szCs w:val="21"/>
        </w:rPr>
        <w:t xml:space="preserve"> </w:t>
      </w:r>
      <w:r w:rsidR="005369E7" w:rsidRPr="00916B56">
        <w:rPr>
          <w:rFonts w:ascii="Times New Roman" w:hAnsi="Times New Roman" w:cs="Times New Roman" w:hint="eastAsia"/>
          <w:szCs w:val="21"/>
        </w:rPr>
        <w:t xml:space="preserve">to </w:t>
      </w:r>
      <w:r w:rsidR="00E63A80" w:rsidRPr="00916B56">
        <w:rPr>
          <w:rFonts w:ascii="Times New Roman" w:hAnsi="Times New Roman" w:cs="Times New Roman"/>
          <w:szCs w:val="21"/>
        </w:rPr>
        <w:t xml:space="preserve">incremental demand </w:t>
      </w:r>
      <w:r w:rsidR="005369E7" w:rsidRPr="00916B56">
        <w:rPr>
          <w:rFonts w:ascii="Times New Roman" w:hAnsi="Times New Roman" w:cs="Times New Roman" w:hint="eastAsia"/>
          <w:szCs w:val="21"/>
        </w:rPr>
        <w:t>from</w:t>
      </w:r>
      <w:r w:rsidR="00E63A80" w:rsidRPr="00916B56">
        <w:rPr>
          <w:rFonts w:ascii="Times New Roman" w:hAnsi="Times New Roman" w:cs="Times New Roman"/>
          <w:szCs w:val="21"/>
        </w:rPr>
        <w:t xml:space="preserve"> high-end customers and the energy storage market, </w:t>
      </w:r>
      <w:r w:rsidR="005369E7" w:rsidRPr="00916B56">
        <w:rPr>
          <w:rFonts w:ascii="Times New Roman" w:hAnsi="Times New Roman" w:cs="Times New Roman" w:hint="eastAsia"/>
          <w:szCs w:val="21"/>
        </w:rPr>
        <w:t>and by empowering</w:t>
      </w:r>
      <w:r w:rsidR="005369E7" w:rsidRPr="00916B56">
        <w:rPr>
          <w:rFonts w:ascii="Times New Roman" w:hAnsi="Times New Roman" w:cs="Times New Roman"/>
          <w:szCs w:val="21"/>
        </w:rPr>
        <w:t xml:space="preserve"> </w:t>
      </w:r>
      <w:r w:rsidR="00E63A80" w:rsidRPr="00916B56">
        <w:rPr>
          <w:rFonts w:ascii="Times New Roman" w:hAnsi="Times New Roman" w:cs="Times New Roman"/>
          <w:szCs w:val="21"/>
        </w:rPr>
        <w:t xml:space="preserve">customers through diversified product portfolios and </w:t>
      </w:r>
      <w:r w:rsidR="005369E7" w:rsidRPr="00916B56">
        <w:rPr>
          <w:rFonts w:ascii="Times New Roman" w:hAnsi="Times New Roman" w:cs="Times New Roman" w:hint="eastAsia"/>
          <w:szCs w:val="21"/>
        </w:rPr>
        <w:t xml:space="preserve">integrated </w:t>
      </w:r>
      <w:r w:rsidR="00E63A80" w:rsidRPr="00916B56">
        <w:rPr>
          <w:rFonts w:ascii="Times New Roman" w:hAnsi="Times New Roman" w:cs="Times New Roman"/>
          <w:szCs w:val="21"/>
        </w:rPr>
        <w:t>industrial chain collaboration,</w:t>
      </w:r>
      <w:r w:rsidR="00944BAD" w:rsidRPr="00916B56">
        <w:rPr>
          <w:rFonts w:ascii="Times New Roman" w:hAnsi="Times New Roman" w:cs="Times New Roman" w:hint="eastAsia"/>
          <w:szCs w:val="21"/>
        </w:rPr>
        <w:t xml:space="preserve"> </w:t>
      </w:r>
      <w:r w:rsidR="005369E7" w:rsidRPr="00916B56">
        <w:rPr>
          <w:rFonts w:ascii="Times New Roman" w:hAnsi="Times New Roman" w:cs="Times New Roman" w:hint="eastAsia"/>
          <w:szCs w:val="21"/>
        </w:rPr>
        <w:t>PTL</w:t>
      </w:r>
      <w:r w:rsidR="00944BAD" w:rsidRPr="00916B56">
        <w:rPr>
          <w:rFonts w:ascii="Times New Roman" w:hAnsi="Times New Roman" w:cs="Times New Roman"/>
          <w:szCs w:val="21"/>
        </w:rPr>
        <w:t xml:space="preserve"> achieved rapid growth in </w:t>
      </w:r>
      <w:r w:rsidR="00E63A80" w:rsidRPr="00916B56">
        <w:rPr>
          <w:rFonts w:ascii="Times New Roman" w:hAnsi="Times New Roman" w:cs="Times New Roman"/>
          <w:szCs w:val="21"/>
        </w:rPr>
        <w:t xml:space="preserve">operating performance. </w:t>
      </w:r>
    </w:p>
    <w:p w14:paraId="49921ACA" w14:textId="1734CBED"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In 2025, the Company achieved operating revenue of 15.711 billion yuan, a year-on-year increase of 16.83%, and net profit attributable to shareholders of 2.359 billion yuan, a year-on-year increase of 98.14%.</w:t>
      </w:r>
    </w:p>
    <w:p w14:paraId="19A9FC36" w14:textId="5F80143E" w:rsidR="00C035CF"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During the reporting period, the Membrane Materials and Coating Business Division </w:t>
      </w:r>
      <w:r w:rsidR="005369E7" w:rsidRPr="00916B56">
        <w:rPr>
          <w:rFonts w:ascii="Times New Roman" w:hAnsi="Times New Roman" w:cs="Times New Roman" w:hint="eastAsia"/>
          <w:szCs w:val="21"/>
        </w:rPr>
        <w:t>leveraged its integrated advantages to meet incremental demand from high-end power battery customers while achieving effective expansion in the energy storage sector.</w:t>
      </w:r>
      <w:r w:rsidRPr="00916B56">
        <w:rPr>
          <w:rFonts w:ascii="Times New Roman" w:hAnsi="Times New Roman" w:cs="Times New Roman"/>
          <w:szCs w:val="21"/>
        </w:rPr>
        <w:t xml:space="preserve"> </w:t>
      </w:r>
    </w:p>
    <w:p w14:paraId="051AA096" w14:textId="24C94603"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The business </w:t>
      </w:r>
      <w:r w:rsidR="00C035CF" w:rsidRPr="00916B56">
        <w:rPr>
          <w:rFonts w:ascii="Times New Roman" w:hAnsi="Times New Roman" w:cs="Times New Roman" w:hint="eastAsia"/>
          <w:szCs w:val="21"/>
        </w:rPr>
        <w:t>experienced significant growth in both</w:t>
      </w:r>
      <w:r w:rsidRPr="00916B56">
        <w:rPr>
          <w:rFonts w:ascii="Times New Roman" w:hAnsi="Times New Roman" w:cs="Times New Roman"/>
          <w:szCs w:val="21"/>
        </w:rPr>
        <w:t xml:space="preserve"> wet-process separators and coating processing</w:t>
      </w:r>
      <w:r w:rsidR="00C035CF" w:rsidRPr="00916B56">
        <w:rPr>
          <w:rFonts w:ascii="Times New Roman" w:hAnsi="Times New Roman" w:cs="Times New Roman" w:hint="eastAsia"/>
          <w:szCs w:val="21"/>
        </w:rPr>
        <w:t>.</w:t>
      </w:r>
      <w:r w:rsidRPr="00916B56">
        <w:rPr>
          <w:rFonts w:ascii="Times New Roman" w:hAnsi="Times New Roman" w:cs="Times New Roman"/>
          <w:szCs w:val="21"/>
        </w:rPr>
        <w:t xml:space="preserve"> </w:t>
      </w:r>
      <w:r w:rsidR="00C035CF" w:rsidRPr="00916B56">
        <w:rPr>
          <w:rFonts w:ascii="Times New Roman" w:hAnsi="Times New Roman" w:cs="Times New Roman" w:hint="eastAsia"/>
          <w:szCs w:val="21"/>
        </w:rPr>
        <w:t>The</w:t>
      </w:r>
      <w:r w:rsidR="001A6E02" w:rsidRPr="00916B56">
        <w:rPr>
          <w:rFonts w:ascii="Times New Roman" w:hAnsi="Times New Roman" w:cs="Times New Roman"/>
          <w:szCs w:val="21"/>
        </w:rPr>
        <w:t xml:space="preserve"> </w:t>
      </w:r>
      <w:r w:rsidRPr="00916B56">
        <w:rPr>
          <w:rFonts w:ascii="Times New Roman" w:hAnsi="Times New Roman" w:cs="Times New Roman"/>
          <w:szCs w:val="21"/>
        </w:rPr>
        <w:t>self-sufficiency rate of base</w:t>
      </w:r>
      <w:r w:rsidR="00EA6A1B" w:rsidRPr="00916B56">
        <w:rPr>
          <w:rFonts w:ascii="Times New Roman" w:hAnsi="Times New Roman" w:cs="Times New Roman"/>
          <w:szCs w:val="21"/>
        </w:rPr>
        <w:t xml:space="preserve"> separator</w:t>
      </w:r>
      <w:r w:rsidRPr="00916B56">
        <w:rPr>
          <w:rFonts w:ascii="Times New Roman" w:hAnsi="Times New Roman" w:cs="Times New Roman"/>
          <w:szCs w:val="21"/>
        </w:rPr>
        <w:t xml:space="preserve"> films increased, </w:t>
      </w:r>
      <w:r w:rsidR="00C035CF" w:rsidRPr="00916B56">
        <w:rPr>
          <w:rFonts w:ascii="Times New Roman" w:hAnsi="Times New Roman" w:cs="Times New Roman" w:hint="eastAsia"/>
          <w:szCs w:val="21"/>
        </w:rPr>
        <w:t xml:space="preserve">and </w:t>
      </w:r>
      <w:r w:rsidRPr="00916B56">
        <w:rPr>
          <w:rFonts w:ascii="Times New Roman" w:hAnsi="Times New Roman" w:cs="Times New Roman"/>
          <w:szCs w:val="21"/>
        </w:rPr>
        <w:t>the synergistic advantages of "materi</w:t>
      </w:r>
      <w:r w:rsidR="001A6E02" w:rsidRPr="00916B56">
        <w:rPr>
          <w:rFonts w:ascii="Times New Roman" w:hAnsi="Times New Roman" w:cs="Times New Roman"/>
          <w:szCs w:val="21"/>
        </w:rPr>
        <w:t>als + equipment + process" were</w:t>
      </w:r>
      <w:r w:rsidR="00C035CF" w:rsidRPr="00916B56">
        <w:rPr>
          <w:rFonts w:ascii="Times New Roman" w:hAnsi="Times New Roman" w:cs="Times New Roman" w:hint="eastAsia"/>
          <w:szCs w:val="21"/>
        </w:rPr>
        <w:t xml:space="preserve"> </w:t>
      </w:r>
      <w:r w:rsidR="001A6E02" w:rsidRPr="00916B56">
        <w:rPr>
          <w:rFonts w:ascii="Times New Roman" w:hAnsi="Times New Roman" w:cs="Times New Roman" w:hint="eastAsia"/>
          <w:szCs w:val="21"/>
        </w:rPr>
        <w:t>further strengthene</w:t>
      </w:r>
      <w:r w:rsidR="001A6E02" w:rsidRPr="00916B56">
        <w:rPr>
          <w:rFonts w:ascii="Times New Roman" w:hAnsi="Times New Roman" w:cs="Times New Roman"/>
          <w:szCs w:val="21"/>
        </w:rPr>
        <w:t xml:space="preserve">d. </w:t>
      </w:r>
      <w:r w:rsidR="00C035CF" w:rsidRPr="00916B56">
        <w:rPr>
          <w:rFonts w:ascii="Times New Roman" w:hAnsi="Times New Roman" w:cs="Times New Roman" w:hint="eastAsia"/>
          <w:szCs w:val="21"/>
        </w:rPr>
        <w:t>T</w:t>
      </w:r>
      <w:r w:rsidRPr="00916B56">
        <w:rPr>
          <w:rFonts w:ascii="Times New Roman" w:hAnsi="Times New Roman" w:cs="Times New Roman"/>
          <w:szCs w:val="21"/>
        </w:rPr>
        <w:t>he introduction of new base</w:t>
      </w:r>
      <w:r w:rsidR="00EA6A1B" w:rsidRPr="00916B56">
        <w:rPr>
          <w:rFonts w:ascii="Times New Roman" w:hAnsi="Times New Roman" w:cs="Times New Roman"/>
          <w:szCs w:val="21"/>
        </w:rPr>
        <w:t xml:space="preserve"> separator</w:t>
      </w:r>
      <w:r w:rsidRPr="00916B56">
        <w:rPr>
          <w:rFonts w:ascii="Times New Roman" w:hAnsi="Times New Roman" w:cs="Times New Roman"/>
          <w:szCs w:val="21"/>
        </w:rPr>
        <w:t xml:space="preserve"> film products and coating processes effectively </w:t>
      </w:r>
      <w:r w:rsidR="00C035CF" w:rsidRPr="00916B56">
        <w:rPr>
          <w:rFonts w:ascii="Times New Roman" w:hAnsi="Times New Roman" w:cs="Times New Roman" w:hint="eastAsia"/>
          <w:szCs w:val="21"/>
        </w:rPr>
        <w:t xml:space="preserve">supported </w:t>
      </w:r>
      <w:r w:rsidRPr="00916B56">
        <w:rPr>
          <w:rFonts w:ascii="Times New Roman" w:hAnsi="Times New Roman" w:cs="Times New Roman"/>
          <w:szCs w:val="21"/>
        </w:rPr>
        <w:t xml:space="preserve">customer product </w:t>
      </w:r>
      <w:r w:rsidR="00C035CF" w:rsidRPr="00916B56">
        <w:rPr>
          <w:rFonts w:ascii="Times New Roman" w:hAnsi="Times New Roman" w:cs="Times New Roman" w:hint="eastAsia"/>
          <w:szCs w:val="21"/>
        </w:rPr>
        <w:t>upgrades</w:t>
      </w:r>
      <w:r w:rsidRPr="00916B56">
        <w:rPr>
          <w:rFonts w:ascii="Times New Roman" w:hAnsi="Times New Roman" w:cs="Times New Roman"/>
          <w:szCs w:val="21"/>
        </w:rPr>
        <w:t>. The sales of functional materials such as PVDF and ceramic coating materials increased rapidly, contributing to the performance</w:t>
      </w:r>
      <w:r w:rsidR="00142E9F" w:rsidRPr="00916B56">
        <w:rPr>
          <w:rFonts w:ascii="Times New Roman" w:hAnsi="Times New Roman" w:cs="Times New Roman" w:hint="eastAsia"/>
          <w:szCs w:val="21"/>
        </w:rPr>
        <w:t xml:space="preserve"> </w:t>
      </w:r>
      <w:r w:rsidR="00BB4259" w:rsidRPr="00916B56">
        <w:rPr>
          <w:rFonts w:ascii="Times New Roman" w:hAnsi="Times New Roman" w:cs="Times New Roman" w:hint="eastAsia"/>
          <w:szCs w:val="21"/>
        </w:rPr>
        <w:t>growt</w:t>
      </w:r>
      <w:r w:rsidR="00BB4259" w:rsidRPr="00916B56">
        <w:rPr>
          <w:rFonts w:ascii="Times New Roman" w:hAnsi="Times New Roman" w:cs="Times New Roman"/>
          <w:szCs w:val="21"/>
        </w:rPr>
        <w:t>h.</w:t>
      </w:r>
      <w:r w:rsidRPr="00916B56">
        <w:rPr>
          <w:rFonts w:ascii="Times New Roman" w:hAnsi="Times New Roman" w:cs="Times New Roman"/>
          <w:szCs w:val="21"/>
        </w:rPr>
        <w:t xml:space="preserve"> The overall profitability of the Membrane Materials and Coating Business Division improved</w:t>
      </w:r>
      <w:r w:rsidR="00142E9F" w:rsidRPr="00916B56">
        <w:rPr>
          <w:rFonts w:ascii="Times New Roman" w:hAnsi="Times New Roman" w:cs="Times New Roman" w:hint="eastAsia"/>
          <w:szCs w:val="21"/>
        </w:rPr>
        <w:t xml:space="preserve"> further</w:t>
      </w:r>
      <w:r w:rsidRPr="00916B56">
        <w:rPr>
          <w:rFonts w:ascii="Times New Roman" w:hAnsi="Times New Roman" w:cs="Times New Roman"/>
          <w:szCs w:val="21"/>
        </w:rPr>
        <w:t>.</w:t>
      </w:r>
    </w:p>
    <w:p w14:paraId="698F4EDD" w14:textId="693BFF5B"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The Anode Materials Business Division adhered to the differentiated product strategy tha</w:t>
      </w:r>
      <w:r w:rsidR="00FB4F92" w:rsidRPr="00916B56">
        <w:rPr>
          <w:rFonts w:ascii="Times New Roman" w:hAnsi="Times New Roman" w:cs="Times New Roman"/>
          <w:szCs w:val="21"/>
        </w:rPr>
        <w:t>t balances performance and cost</w:t>
      </w:r>
      <w:r w:rsidR="00142E9F" w:rsidRPr="00916B56">
        <w:rPr>
          <w:rFonts w:ascii="Times New Roman" w:hAnsi="Times New Roman" w:cs="Times New Roman" w:hint="eastAsia"/>
          <w:szCs w:val="21"/>
        </w:rPr>
        <w:t xml:space="preserve">. The company </w:t>
      </w:r>
      <w:r w:rsidRPr="00916B56">
        <w:rPr>
          <w:rFonts w:ascii="Times New Roman" w:hAnsi="Times New Roman" w:cs="Times New Roman"/>
          <w:szCs w:val="21"/>
        </w:rPr>
        <w:t>continuously optimized product design, strengthened process technology upgrad</w:t>
      </w:r>
      <w:r w:rsidR="00FB4F92" w:rsidRPr="00916B56">
        <w:rPr>
          <w:rFonts w:ascii="Times New Roman" w:hAnsi="Times New Roman" w:cs="Times New Roman" w:hint="eastAsia"/>
          <w:szCs w:val="21"/>
        </w:rPr>
        <w:t>e</w:t>
      </w:r>
      <w:r w:rsidR="00FB4F92" w:rsidRPr="00916B56">
        <w:rPr>
          <w:rFonts w:ascii="Times New Roman" w:hAnsi="Times New Roman" w:cs="Times New Roman"/>
          <w:szCs w:val="21"/>
        </w:rPr>
        <w:t>s,</w:t>
      </w:r>
      <w:r w:rsidRPr="00916B56">
        <w:rPr>
          <w:rFonts w:ascii="Times New Roman" w:hAnsi="Times New Roman" w:cs="Times New Roman"/>
          <w:szCs w:val="21"/>
        </w:rPr>
        <w:t xml:space="preserve"> and implemented various cost reduction and </w:t>
      </w:r>
      <w:r w:rsidR="005C05CF" w:rsidRPr="00916B56">
        <w:rPr>
          <w:rFonts w:ascii="Times New Roman" w:hAnsi="Times New Roman" w:cs="Times New Roman"/>
          <w:szCs w:val="21"/>
        </w:rPr>
        <w:t>efficiency enhancement measures</w:t>
      </w:r>
      <w:r w:rsidR="00142E9F" w:rsidRPr="00916B56">
        <w:rPr>
          <w:rFonts w:ascii="Times New Roman" w:hAnsi="Times New Roman" w:cs="Times New Roman" w:hint="eastAsia"/>
          <w:szCs w:val="21"/>
        </w:rPr>
        <w:t xml:space="preserve">, including improvements in </w:t>
      </w:r>
      <w:r w:rsidRPr="00916B56">
        <w:rPr>
          <w:rFonts w:ascii="Times New Roman" w:hAnsi="Times New Roman" w:cs="Times New Roman"/>
          <w:szCs w:val="21"/>
        </w:rPr>
        <w:t xml:space="preserve">raw material processing technology, graphitization </w:t>
      </w:r>
      <w:r w:rsidR="00142E9F" w:rsidRPr="00916B56">
        <w:rPr>
          <w:rFonts w:ascii="Times New Roman" w:hAnsi="Times New Roman" w:cs="Times New Roman" w:hint="eastAsia"/>
          <w:szCs w:val="21"/>
        </w:rPr>
        <w:t>upgrades</w:t>
      </w:r>
      <w:r w:rsidRPr="00916B56">
        <w:rPr>
          <w:rFonts w:ascii="Times New Roman" w:hAnsi="Times New Roman" w:cs="Times New Roman"/>
          <w:szCs w:val="21"/>
        </w:rPr>
        <w:t xml:space="preserve">, and supply chain </w:t>
      </w:r>
      <w:r w:rsidR="00142E9F" w:rsidRPr="00916B56">
        <w:rPr>
          <w:rFonts w:ascii="Times New Roman" w:hAnsi="Times New Roman" w:cs="Times New Roman" w:hint="eastAsia"/>
          <w:szCs w:val="21"/>
        </w:rPr>
        <w:t>optimization</w:t>
      </w:r>
      <w:r w:rsidR="00FB4F92" w:rsidRPr="00916B56">
        <w:rPr>
          <w:rFonts w:ascii="Times New Roman" w:hAnsi="Times New Roman" w:cs="Times New Roman"/>
          <w:szCs w:val="21"/>
        </w:rPr>
        <w:t xml:space="preserve">. </w:t>
      </w:r>
      <w:r w:rsidRPr="00916B56">
        <w:rPr>
          <w:rFonts w:ascii="Times New Roman" w:hAnsi="Times New Roman" w:cs="Times New Roman"/>
          <w:szCs w:val="21"/>
        </w:rPr>
        <w:t xml:space="preserve">The business focused on </w:t>
      </w:r>
      <w:r w:rsidR="00E36C4D" w:rsidRPr="00916B56">
        <w:rPr>
          <w:rFonts w:ascii="Times New Roman" w:hAnsi="Times New Roman" w:cs="Times New Roman" w:hint="eastAsia"/>
          <w:szCs w:val="21"/>
        </w:rPr>
        <w:t>addressing customer demand for next-generation products, including</w:t>
      </w:r>
      <w:r w:rsidRPr="00916B56">
        <w:rPr>
          <w:rFonts w:ascii="Times New Roman" w:hAnsi="Times New Roman" w:cs="Times New Roman"/>
          <w:szCs w:val="21"/>
        </w:rPr>
        <w:t xml:space="preserve"> fast charging, long cycle life and high capacity. Silicon-carbon anode achieved mass production and delivery to consumer battery customers, and the operating conditions were improved.</w:t>
      </w:r>
    </w:p>
    <w:p w14:paraId="39D17337" w14:textId="3DC026A4" w:rsidR="00E63A80" w:rsidRPr="00916B56" w:rsidRDefault="00896D0C"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The Automation</w:t>
      </w:r>
      <w:r w:rsidR="00E63A80" w:rsidRPr="00916B56">
        <w:rPr>
          <w:rFonts w:ascii="Times New Roman" w:hAnsi="Times New Roman" w:cs="Times New Roman"/>
          <w:szCs w:val="21"/>
        </w:rPr>
        <w:t xml:space="preserve"> Equipment Business Division seized </w:t>
      </w:r>
      <w:r w:rsidR="00970BA5" w:rsidRPr="00916B56">
        <w:rPr>
          <w:rFonts w:ascii="Times New Roman" w:hAnsi="Times New Roman" w:cs="Times New Roman" w:hint="eastAsia"/>
          <w:szCs w:val="21"/>
        </w:rPr>
        <w:t xml:space="preserve">on </w:t>
      </w:r>
      <w:r w:rsidR="00E63A80" w:rsidRPr="00916B56">
        <w:rPr>
          <w:rFonts w:ascii="Times New Roman" w:hAnsi="Times New Roman" w:cs="Times New Roman"/>
          <w:szCs w:val="21"/>
        </w:rPr>
        <w:t>capacity expansion of downstream customers, continuously improved the product matrix, actively expanded new business opportunities</w:t>
      </w:r>
      <w:r w:rsidR="00FB4F92" w:rsidRPr="00916B56">
        <w:rPr>
          <w:rFonts w:ascii="Times New Roman" w:hAnsi="Times New Roman" w:cs="Times New Roman"/>
          <w:szCs w:val="21"/>
        </w:rPr>
        <w:t xml:space="preserve">. The value of new orders </w:t>
      </w:r>
      <w:r w:rsidR="00E63A80" w:rsidRPr="00916B56">
        <w:rPr>
          <w:rFonts w:ascii="Times New Roman" w:hAnsi="Times New Roman" w:cs="Times New Roman"/>
          <w:szCs w:val="21"/>
        </w:rPr>
        <w:t xml:space="preserve">in 2025 increased by 130.9% year-on-year, achieving year-on-year profit growth. In terms of battery manufacturing equipment, </w:t>
      </w:r>
      <w:r w:rsidR="00970BA5" w:rsidRPr="00916B56">
        <w:rPr>
          <w:rFonts w:ascii="Times New Roman" w:hAnsi="Times New Roman" w:cs="Times New Roman" w:hint="eastAsia"/>
          <w:szCs w:val="21"/>
        </w:rPr>
        <w:t>consolidated its leadership in coating equipment while securing new orders in emerging areas such as sodium-ion and solid-state battery equipment.</w:t>
      </w:r>
      <w:r w:rsidR="00E63A80" w:rsidRPr="00916B56">
        <w:rPr>
          <w:rFonts w:ascii="Times New Roman" w:hAnsi="Times New Roman" w:cs="Times New Roman"/>
          <w:szCs w:val="21"/>
        </w:rPr>
        <w:t xml:space="preserve"> In terms of battery material</w:t>
      </w:r>
      <w:r w:rsidR="00970BA5" w:rsidRPr="00916B56">
        <w:rPr>
          <w:rFonts w:ascii="Times New Roman" w:hAnsi="Times New Roman" w:cs="Times New Roman" w:hint="eastAsia"/>
          <w:szCs w:val="21"/>
        </w:rPr>
        <w:t>s</w:t>
      </w:r>
      <w:r w:rsidR="00E63A80" w:rsidRPr="00916B56">
        <w:rPr>
          <w:rFonts w:ascii="Times New Roman" w:hAnsi="Times New Roman" w:cs="Times New Roman"/>
          <w:szCs w:val="21"/>
        </w:rPr>
        <w:t xml:space="preserve"> equipment, substantial breakthroughs were made in base</w:t>
      </w:r>
      <w:r w:rsidR="00EA6A1B" w:rsidRPr="00916B56">
        <w:rPr>
          <w:rFonts w:ascii="Times New Roman" w:hAnsi="Times New Roman" w:cs="Times New Roman"/>
          <w:szCs w:val="21"/>
        </w:rPr>
        <w:t xml:space="preserve"> separator</w:t>
      </w:r>
      <w:r w:rsidR="00E63A80" w:rsidRPr="00916B56">
        <w:rPr>
          <w:rFonts w:ascii="Times New Roman" w:hAnsi="Times New Roman" w:cs="Times New Roman"/>
          <w:szCs w:val="21"/>
        </w:rPr>
        <w:t xml:space="preserve"> film and powder material equipment.</w:t>
      </w:r>
    </w:p>
    <w:p w14:paraId="333DD348" w14:textId="39B5DEC0" w:rsidR="00E63A80" w:rsidRPr="00916B56" w:rsidRDefault="00970BA5"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 xml:space="preserve">Leveraging its integrated </w:t>
      </w:r>
      <w:r w:rsidR="00E63A80" w:rsidRPr="00916B56">
        <w:rPr>
          <w:rFonts w:ascii="Times New Roman" w:hAnsi="Times New Roman" w:cs="Times New Roman"/>
          <w:szCs w:val="21"/>
        </w:rPr>
        <w:t xml:space="preserve">"materials + equipment + process", the </w:t>
      </w:r>
      <w:r w:rsidR="00E83265">
        <w:rPr>
          <w:rFonts w:ascii="Times New Roman" w:hAnsi="Times New Roman" w:cs="Times New Roman"/>
          <w:szCs w:val="21"/>
        </w:rPr>
        <w:t xml:space="preserve">CAAS </w:t>
      </w:r>
      <w:r w:rsidR="00E63A80" w:rsidRPr="00916B56">
        <w:rPr>
          <w:rFonts w:ascii="Times New Roman" w:hAnsi="Times New Roman" w:cs="Times New Roman"/>
          <w:szCs w:val="21"/>
        </w:rPr>
        <w:t>Business Division actively explored the "full roll" delivery model. The 8</w:t>
      </w:r>
      <w:r w:rsidRPr="00916B56">
        <w:rPr>
          <w:rFonts w:ascii="Times New Roman" w:hAnsi="Times New Roman" w:cs="Times New Roman" w:hint="eastAsia"/>
          <w:szCs w:val="21"/>
        </w:rPr>
        <w:t xml:space="preserve"> </w:t>
      </w:r>
      <w:proofErr w:type="spellStart"/>
      <w:r w:rsidR="00E63A80" w:rsidRPr="00916B56">
        <w:rPr>
          <w:rFonts w:ascii="Times New Roman" w:hAnsi="Times New Roman" w:cs="Times New Roman"/>
          <w:szCs w:val="21"/>
        </w:rPr>
        <w:t>GWh</w:t>
      </w:r>
      <w:proofErr w:type="spellEnd"/>
      <w:r w:rsidR="00E63A80" w:rsidRPr="00916B56">
        <w:rPr>
          <w:rFonts w:ascii="Times New Roman" w:hAnsi="Times New Roman" w:cs="Times New Roman"/>
          <w:szCs w:val="21"/>
        </w:rPr>
        <w:t xml:space="preserve"> pulping and electrode </w:t>
      </w:r>
      <w:r w:rsidR="00E83265">
        <w:rPr>
          <w:rFonts w:ascii="Times New Roman" w:hAnsi="Times New Roman" w:cs="Times New Roman" w:hint="eastAsia"/>
          <w:szCs w:val="21"/>
        </w:rPr>
        <w:t>processing</w:t>
      </w:r>
      <w:r w:rsidR="00E63A80" w:rsidRPr="00916B56">
        <w:rPr>
          <w:rFonts w:ascii="Times New Roman" w:hAnsi="Times New Roman" w:cs="Times New Roman"/>
          <w:szCs w:val="21"/>
        </w:rPr>
        <w:t xml:space="preserve"> line production capacity was put into operation, providing material processing services for battery manufacturers, automobile enterprises and energy storage customers at home and abroad</w:t>
      </w:r>
      <w:r w:rsidRPr="00916B56">
        <w:rPr>
          <w:rFonts w:ascii="Times New Roman" w:hAnsi="Times New Roman" w:cs="Times New Roman" w:hint="eastAsia"/>
          <w:szCs w:val="21"/>
        </w:rPr>
        <w:t>. This marked a significant breakthrough and</w:t>
      </w:r>
      <w:r w:rsidR="00E63A80" w:rsidRPr="00916B56">
        <w:rPr>
          <w:rFonts w:ascii="Times New Roman" w:hAnsi="Times New Roman" w:cs="Times New Roman"/>
          <w:szCs w:val="21"/>
        </w:rPr>
        <w:t xml:space="preserve"> is expected to </w:t>
      </w:r>
      <w:r w:rsidRPr="00916B56">
        <w:rPr>
          <w:rFonts w:ascii="Times New Roman" w:hAnsi="Times New Roman" w:cs="Times New Roman" w:hint="eastAsia"/>
          <w:szCs w:val="21"/>
        </w:rPr>
        <w:t>become</w:t>
      </w:r>
      <w:r w:rsidR="00E63A80" w:rsidRPr="00916B56">
        <w:rPr>
          <w:rFonts w:ascii="Times New Roman" w:hAnsi="Times New Roman" w:cs="Times New Roman"/>
          <w:szCs w:val="21"/>
        </w:rPr>
        <w:t xml:space="preserve"> a new business in the future.</w:t>
      </w:r>
    </w:p>
    <w:p w14:paraId="65DF43E0" w14:textId="7777777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(I) New Energy Battery Materials and Services</w:t>
      </w:r>
    </w:p>
    <w:p w14:paraId="413BD698" w14:textId="0DE1D083" w:rsidR="00E63A80" w:rsidRPr="00916B56" w:rsidRDefault="00E63A80" w:rsidP="00CC71BF">
      <w:pPr>
        <w:spacing w:line="360" w:lineRule="auto"/>
        <w:ind w:firstLine="360"/>
        <w:rPr>
          <w:rFonts w:ascii="Times New Roman" w:hAnsi="Times New Roman" w:cs="Times New Roman"/>
          <w:strike/>
          <w:szCs w:val="21"/>
        </w:rPr>
      </w:pPr>
      <w:r w:rsidRPr="00916B56">
        <w:rPr>
          <w:rFonts w:ascii="Times New Roman" w:hAnsi="Times New Roman" w:cs="Times New Roman"/>
          <w:szCs w:val="21"/>
        </w:rPr>
        <w:t xml:space="preserve">During the reporting period, the Company's new energy battery materials and services achieved core business revenue of 11.793 billion yuan (before </w:t>
      </w:r>
      <w:r w:rsidR="00A96077" w:rsidRPr="00916B56">
        <w:rPr>
          <w:rFonts w:ascii="Times New Roman" w:hAnsi="Times New Roman" w:cs="Times New Roman" w:hint="eastAsia"/>
          <w:szCs w:val="21"/>
        </w:rPr>
        <w:t>intercompany eliminations</w:t>
      </w:r>
      <w:r w:rsidRPr="00916B56">
        <w:rPr>
          <w:rFonts w:ascii="Times New Roman" w:hAnsi="Times New Roman" w:cs="Times New Roman"/>
          <w:szCs w:val="21"/>
        </w:rPr>
        <w:t xml:space="preserve">). </w:t>
      </w:r>
    </w:p>
    <w:p w14:paraId="2FA4667A" w14:textId="7777777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1. Membrane Materials and Coating Processing</w:t>
      </w:r>
    </w:p>
    <w:p w14:paraId="50FC2751" w14:textId="77777777"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(1) Coating Processing</w:t>
      </w:r>
    </w:p>
    <w:p w14:paraId="747D35D3" w14:textId="4E818C45"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The Co</w:t>
      </w:r>
      <w:r w:rsidR="005C05CF" w:rsidRPr="00916B56">
        <w:rPr>
          <w:rFonts w:ascii="Times New Roman" w:hAnsi="Times New Roman" w:cs="Times New Roman"/>
          <w:szCs w:val="21"/>
        </w:rPr>
        <w:t xml:space="preserve">mpany is a leading enterprise in </w:t>
      </w:r>
      <w:r w:rsidRPr="00916B56">
        <w:rPr>
          <w:rFonts w:ascii="Times New Roman" w:hAnsi="Times New Roman" w:cs="Times New Roman"/>
          <w:szCs w:val="21"/>
        </w:rPr>
        <w:t xml:space="preserve">coated separator processing, and is in a globally leading position in coating technology, production efficiency, product performance, quality control and cost </w:t>
      </w:r>
      <w:r w:rsidR="00A96077" w:rsidRPr="00916B56">
        <w:rPr>
          <w:rFonts w:ascii="Times New Roman" w:hAnsi="Times New Roman" w:cs="Times New Roman" w:hint="eastAsia"/>
          <w:szCs w:val="21"/>
        </w:rPr>
        <w:t>management</w:t>
      </w:r>
      <w:r w:rsidR="005C05CF" w:rsidRPr="00916B56">
        <w:rPr>
          <w:rFonts w:ascii="Times New Roman" w:hAnsi="Times New Roman" w:cs="Times New Roman"/>
          <w:szCs w:val="21"/>
        </w:rPr>
        <w:t xml:space="preserve">. </w:t>
      </w:r>
      <w:r w:rsidRPr="00916B56">
        <w:rPr>
          <w:rFonts w:ascii="Times New Roman" w:hAnsi="Times New Roman" w:cs="Times New Roman"/>
          <w:szCs w:val="21"/>
        </w:rPr>
        <w:t>As of the end of the reporting period, the Company has formed an effective production capacity of 14 billion square meters of coated separator processing.</w:t>
      </w:r>
    </w:p>
    <w:p w14:paraId="0286D2F9" w14:textId="645B09AA"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In 2025, coating processing volume (sales volume) reached 1.0942 billion square meters, a year-on-year increase of 56.3%, accounti</w:t>
      </w:r>
      <w:r w:rsidR="005C05CF" w:rsidRPr="00916B56">
        <w:rPr>
          <w:rFonts w:ascii="Times New Roman" w:hAnsi="Times New Roman" w:cs="Times New Roman"/>
          <w:szCs w:val="21"/>
        </w:rPr>
        <w:t xml:space="preserve">ng for about 35.3% of the global </w:t>
      </w:r>
      <w:r w:rsidRPr="00916B56">
        <w:rPr>
          <w:rFonts w:ascii="Times New Roman" w:hAnsi="Times New Roman" w:cs="Times New Roman"/>
          <w:szCs w:val="21"/>
        </w:rPr>
        <w:t xml:space="preserve">market, and has ranked </w:t>
      </w:r>
      <w:r w:rsidR="005C05CF" w:rsidRPr="00916B56">
        <w:rPr>
          <w:rFonts w:ascii="Times New Roman" w:hAnsi="Times New Roman" w:cs="Times New Roman" w:hint="eastAsia"/>
          <w:szCs w:val="21"/>
        </w:rPr>
        <w:t>No.</w:t>
      </w:r>
      <w:r w:rsidR="005C05CF" w:rsidRPr="00916B56">
        <w:rPr>
          <w:rFonts w:ascii="Times New Roman" w:hAnsi="Times New Roman" w:cs="Times New Roman"/>
          <w:szCs w:val="21"/>
        </w:rPr>
        <w:t xml:space="preserve">1 </w:t>
      </w:r>
      <w:r w:rsidRPr="00916B56">
        <w:rPr>
          <w:rFonts w:ascii="Times New Roman" w:hAnsi="Times New Roman" w:cs="Times New Roman"/>
          <w:szCs w:val="21"/>
        </w:rPr>
        <w:t xml:space="preserve">in the industry for 7 consecutive years. The Company improved yield and efficiency through a number of measures such as process </w:t>
      </w:r>
      <w:r w:rsidR="00C32B1C" w:rsidRPr="00916B56">
        <w:rPr>
          <w:rFonts w:ascii="Times New Roman" w:hAnsi="Times New Roman" w:cs="Times New Roman" w:hint="eastAsia"/>
          <w:szCs w:val="21"/>
        </w:rPr>
        <w:t>optimization</w:t>
      </w:r>
      <w:r w:rsidRPr="00916B56">
        <w:rPr>
          <w:rFonts w:ascii="Times New Roman" w:hAnsi="Times New Roman" w:cs="Times New Roman"/>
          <w:szCs w:val="21"/>
        </w:rPr>
        <w:t xml:space="preserve">, centralized procurement, optimizing production scheduling, equipment </w:t>
      </w:r>
      <w:r w:rsidR="00C32B1C" w:rsidRPr="00916B56">
        <w:rPr>
          <w:rFonts w:ascii="Times New Roman" w:hAnsi="Times New Roman" w:cs="Times New Roman" w:hint="eastAsia"/>
          <w:szCs w:val="21"/>
        </w:rPr>
        <w:t>upgrades, and speed enhancements</w:t>
      </w:r>
      <w:r w:rsidRPr="00916B56">
        <w:rPr>
          <w:rFonts w:ascii="Times New Roman" w:hAnsi="Times New Roman" w:cs="Times New Roman"/>
          <w:szCs w:val="21"/>
        </w:rPr>
        <w:t>, promoted cost control with the concept of "extrem</w:t>
      </w:r>
      <w:r w:rsidR="00C15B95" w:rsidRPr="00916B56">
        <w:rPr>
          <w:rFonts w:ascii="Times New Roman" w:hAnsi="Times New Roman" w:cs="Times New Roman"/>
          <w:szCs w:val="21"/>
        </w:rPr>
        <w:t xml:space="preserve">e manufacturing", and maintained </w:t>
      </w:r>
      <w:r w:rsidRPr="00916B56">
        <w:rPr>
          <w:rFonts w:ascii="Times New Roman" w:hAnsi="Times New Roman" w:cs="Times New Roman"/>
          <w:szCs w:val="21"/>
        </w:rPr>
        <w:t xml:space="preserve">stable profitability. During the reporting period, the Company introduced a new coating process, </w:t>
      </w:r>
      <w:r w:rsidR="00C32B1C" w:rsidRPr="00916B56">
        <w:rPr>
          <w:rFonts w:ascii="Times New Roman" w:hAnsi="Times New Roman" w:cs="Times New Roman" w:hint="eastAsia"/>
          <w:szCs w:val="21"/>
        </w:rPr>
        <w:t>overcoming challenges related to PCS spray thickness consistency, and advanced</w:t>
      </w:r>
      <w:r w:rsidRPr="00916B56">
        <w:rPr>
          <w:rFonts w:ascii="Times New Roman" w:hAnsi="Times New Roman" w:cs="Times New Roman"/>
          <w:szCs w:val="21"/>
        </w:rPr>
        <w:t xml:space="preserve"> the application of water-based PMMA coatings and high-safety ceramic coatings.</w:t>
      </w:r>
    </w:p>
    <w:p w14:paraId="09583C8E" w14:textId="0AAF8DA5" w:rsidR="00E63A80" w:rsidRPr="00916B56" w:rsidRDefault="00C32B1C"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 xml:space="preserve">To meet rapidly growing downstream demand, the Company is expanding capacity in key locations including </w:t>
      </w:r>
      <w:proofErr w:type="spellStart"/>
      <w:r w:rsidRPr="00916B56">
        <w:rPr>
          <w:rFonts w:ascii="Times New Roman" w:hAnsi="Times New Roman" w:cs="Times New Roman" w:hint="eastAsia"/>
          <w:szCs w:val="21"/>
        </w:rPr>
        <w:t>Ningde</w:t>
      </w:r>
      <w:proofErr w:type="spellEnd"/>
      <w:r w:rsidRPr="00916B56">
        <w:rPr>
          <w:rFonts w:ascii="Times New Roman" w:hAnsi="Times New Roman" w:cs="Times New Roman" w:hint="eastAsia"/>
          <w:szCs w:val="21"/>
        </w:rPr>
        <w:t xml:space="preserve"> (Fujian), </w:t>
      </w:r>
      <w:proofErr w:type="spellStart"/>
      <w:r w:rsidRPr="00916B56">
        <w:rPr>
          <w:rFonts w:ascii="Times New Roman" w:hAnsi="Times New Roman" w:cs="Times New Roman" w:hint="eastAsia"/>
          <w:szCs w:val="21"/>
        </w:rPr>
        <w:t>Liyang</w:t>
      </w:r>
      <w:proofErr w:type="spellEnd"/>
      <w:r w:rsidRPr="00916B56">
        <w:rPr>
          <w:rFonts w:ascii="Times New Roman" w:hAnsi="Times New Roman" w:cs="Times New Roman" w:hint="eastAsia"/>
          <w:szCs w:val="21"/>
        </w:rPr>
        <w:t xml:space="preserve"> (Jiangsu), </w:t>
      </w:r>
      <w:proofErr w:type="spellStart"/>
      <w:r w:rsidRPr="00916B56">
        <w:rPr>
          <w:rFonts w:ascii="Times New Roman" w:hAnsi="Times New Roman" w:cs="Times New Roman" w:hint="eastAsia"/>
          <w:szCs w:val="21"/>
        </w:rPr>
        <w:t>Zhaoqing</w:t>
      </w:r>
      <w:proofErr w:type="spellEnd"/>
      <w:r w:rsidRPr="00916B56">
        <w:rPr>
          <w:rFonts w:ascii="Times New Roman" w:hAnsi="Times New Roman" w:cs="Times New Roman" w:hint="eastAsia"/>
          <w:szCs w:val="21"/>
        </w:rPr>
        <w:t xml:space="preserve"> (Guangdong), and </w:t>
      </w:r>
      <w:proofErr w:type="spellStart"/>
      <w:r w:rsidRPr="00916B56">
        <w:rPr>
          <w:rFonts w:ascii="Times New Roman" w:hAnsi="Times New Roman" w:cs="Times New Roman" w:hint="eastAsia"/>
          <w:szCs w:val="21"/>
        </w:rPr>
        <w:t>Qionglai</w:t>
      </w:r>
      <w:proofErr w:type="spellEnd"/>
      <w:r w:rsidRPr="00916B56">
        <w:rPr>
          <w:rFonts w:ascii="Times New Roman" w:hAnsi="Times New Roman" w:cs="Times New Roman" w:hint="eastAsia"/>
          <w:szCs w:val="21"/>
        </w:rPr>
        <w:t xml:space="preserve"> (Sichuan), further strengthening its long-term competitive position.</w:t>
      </w:r>
    </w:p>
    <w:p w14:paraId="1917B981" w14:textId="79743039" w:rsidR="00E63A80" w:rsidRPr="00916B56" w:rsidRDefault="00EA6A1B"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(2)</w:t>
      </w:r>
      <w:r w:rsidR="00E83265">
        <w:rPr>
          <w:rFonts w:ascii="Times New Roman" w:hAnsi="Times New Roman" w:cs="Times New Roman"/>
          <w:szCs w:val="21"/>
        </w:rPr>
        <w:t xml:space="preserve"> </w:t>
      </w:r>
      <w:r w:rsidR="00E63A80" w:rsidRPr="00916B56">
        <w:rPr>
          <w:rFonts w:ascii="Times New Roman" w:hAnsi="Times New Roman" w:cs="Times New Roman"/>
          <w:szCs w:val="21"/>
        </w:rPr>
        <w:t>Base</w:t>
      </w:r>
      <w:r w:rsidRPr="00916B56">
        <w:rPr>
          <w:rFonts w:ascii="Times New Roman" w:hAnsi="Times New Roman" w:cs="Times New Roman"/>
          <w:szCs w:val="21"/>
        </w:rPr>
        <w:t xml:space="preserve"> Separator</w:t>
      </w:r>
      <w:r w:rsidR="00E63A80" w:rsidRPr="00916B56">
        <w:rPr>
          <w:rFonts w:ascii="Times New Roman" w:hAnsi="Times New Roman" w:cs="Times New Roman"/>
          <w:szCs w:val="21"/>
        </w:rPr>
        <w:t xml:space="preserve"> Film</w:t>
      </w:r>
    </w:p>
    <w:p w14:paraId="3E3450E3" w14:textId="6E14BE95"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The Company is the most promising base</w:t>
      </w:r>
      <w:r w:rsidR="00EA6A1B" w:rsidRPr="00916B56">
        <w:rPr>
          <w:rFonts w:ascii="Times New Roman" w:hAnsi="Times New Roman" w:cs="Times New Roman"/>
          <w:szCs w:val="21"/>
        </w:rPr>
        <w:t xml:space="preserve"> separator</w:t>
      </w:r>
      <w:r w:rsidRPr="00916B56">
        <w:rPr>
          <w:rFonts w:ascii="Times New Roman" w:hAnsi="Times New Roman" w:cs="Times New Roman"/>
          <w:szCs w:val="21"/>
        </w:rPr>
        <w:t xml:space="preserve"> film manufacturer in China</w:t>
      </w:r>
      <w:r w:rsidR="00C523DD" w:rsidRPr="00916B56">
        <w:rPr>
          <w:rFonts w:ascii="Times New Roman" w:hAnsi="Times New Roman" w:cs="Times New Roman" w:hint="eastAsia"/>
          <w:szCs w:val="21"/>
        </w:rPr>
        <w:t>,</w:t>
      </w:r>
      <w:r w:rsidR="00C523DD" w:rsidRPr="00916B56">
        <w:rPr>
          <w:rFonts w:ascii="Times New Roman" w:hAnsi="Times New Roman" w:cs="Times New Roman"/>
          <w:szCs w:val="21"/>
        </w:rPr>
        <w:t xml:space="preserve"> </w:t>
      </w:r>
      <w:r w:rsidR="00C32B1C" w:rsidRPr="00916B56">
        <w:rPr>
          <w:rFonts w:ascii="Times New Roman" w:hAnsi="Times New Roman" w:cs="Times New Roman" w:hint="eastAsia"/>
          <w:szCs w:val="21"/>
        </w:rPr>
        <w:t xml:space="preserve">with production efficiency exceeding </w:t>
      </w:r>
      <w:r w:rsidR="00C15B95" w:rsidRPr="00916B56">
        <w:rPr>
          <w:rFonts w:ascii="Times New Roman" w:hAnsi="Times New Roman" w:cs="Times New Roman" w:hint="eastAsia"/>
          <w:szCs w:val="21"/>
        </w:rPr>
        <w:t>international leading standards</w:t>
      </w:r>
      <w:r w:rsidR="00C15B95" w:rsidRPr="00916B56">
        <w:rPr>
          <w:rFonts w:ascii="Times New Roman" w:hAnsi="Times New Roman" w:cs="Times New Roman"/>
          <w:szCs w:val="21"/>
        </w:rPr>
        <w:t xml:space="preserve">. </w:t>
      </w:r>
      <w:r w:rsidRPr="00916B56">
        <w:rPr>
          <w:rFonts w:ascii="Times New Roman" w:hAnsi="Times New Roman" w:cs="Times New Roman"/>
          <w:szCs w:val="21"/>
        </w:rPr>
        <w:t xml:space="preserve">The latest </w:t>
      </w:r>
      <w:r w:rsidR="008377A1" w:rsidRPr="00916B56">
        <w:rPr>
          <w:rFonts w:ascii="Times New Roman" w:hAnsi="Times New Roman" w:cs="Times New Roman"/>
          <w:szCs w:val="21"/>
        </w:rPr>
        <w:t>production line</w:t>
      </w:r>
      <w:r w:rsidR="008377A1" w:rsidRPr="00916B56">
        <w:rPr>
          <w:rFonts w:ascii="Times New Roman" w:hAnsi="Times New Roman" w:cs="Times New Roman" w:hint="eastAsia"/>
          <w:szCs w:val="21"/>
        </w:rPr>
        <w:t>s enhance equipment self-sufficiency, shorten construction cycles, and reduce capital expenditure, positioning the Company ahead of industry benchmarks in both investment e</w:t>
      </w:r>
      <w:r w:rsidR="00C15B95" w:rsidRPr="00916B56">
        <w:rPr>
          <w:rFonts w:ascii="Times New Roman" w:hAnsi="Times New Roman" w:cs="Times New Roman" w:hint="eastAsia"/>
          <w:szCs w:val="21"/>
        </w:rPr>
        <w:t>fficiency and project timelines</w:t>
      </w:r>
      <w:r w:rsidR="00C15B95" w:rsidRPr="00916B56">
        <w:rPr>
          <w:rFonts w:ascii="Times New Roman" w:hAnsi="Times New Roman" w:cs="Times New Roman"/>
          <w:szCs w:val="21"/>
        </w:rPr>
        <w:t>. As</w:t>
      </w:r>
      <w:r w:rsidRPr="00916B56">
        <w:rPr>
          <w:rFonts w:ascii="Times New Roman" w:hAnsi="Times New Roman" w:cs="Times New Roman"/>
          <w:szCs w:val="21"/>
        </w:rPr>
        <w:t xml:space="preserve"> of the end of 2025, the Company has formed an annual production capacity of 210 million square meters of base</w:t>
      </w:r>
      <w:r w:rsidR="00EA6A1B" w:rsidRPr="00916B56">
        <w:rPr>
          <w:rFonts w:ascii="Times New Roman" w:hAnsi="Times New Roman" w:cs="Times New Roman"/>
          <w:szCs w:val="21"/>
        </w:rPr>
        <w:t xml:space="preserve"> separator</w:t>
      </w:r>
      <w:r w:rsidRPr="00916B56">
        <w:rPr>
          <w:rFonts w:ascii="Times New Roman" w:hAnsi="Times New Roman" w:cs="Times New Roman"/>
          <w:szCs w:val="21"/>
        </w:rPr>
        <w:t xml:space="preserve"> films.</w:t>
      </w:r>
    </w:p>
    <w:p w14:paraId="780FE68C" w14:textId="14DA3F57"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In 2025, the business achieved a major breakthrough</w:t>
      </w:r>
      <w:r w:rsidR="008377A1" w:rsidRPr="00916B56">
        <w:rPr>
          <w:rFonts w:ascii="Times New Roman" w:hAnsi="Times New Roman" w:cs="Times New Roman" w:hint="eastAsia"/>
          <w:szCs w:val="21"/>
        </w:rPr>
        <w:t>,</w:t>
      </w:r>
      <w:r w:rsidR="008377A1" w:rsidRPr="00916B56">
        <w:rPr>
          <w:rFonts w:hint="eastAsia"/>
        </w:rPr>
        <w:t xml:space="preserve"> </w:t>
      </w:r>
      <w:r w:rsidR="008377A1" w:rsidRPr="00916B56">
        <w:rPr>
          <w:rFonts w:ascii="Times New Roman" w:hAnsi="Times New Roman" w:cs="Times New Roman" w:hint="eastAsia"/>
          <w:szCs w:val="21"/>
        </w:rPr>
        <w:t>with strong recognition from leading power battery and energy storage customers</w:t>
      </w:r>
      <w:r w:rsidR="00C15B95" w:rsidRPr="00916B56">
        <w:rPr>
          <w:rFonts w:ascii="Times New Roman" w:hAnsi="Times New Roman" w:cs="Times New Roman"/>
          <w:szCs w:val="21"/>
        </w:rPr>
        <w:t>,</w:t>
      </w:r>
      <w:r w:rsidRPr="00916B56">
        <w:rPr>
          <w:rFonts w:ascii="Times New Roman" w:hAnsi="Times New Roman" w:cs="Times New Roman"/>
          <w:szCs w:val="21"/>
        </w:rPr>
        <w:t xml:space="preserve"> annual sales reached 149.5 million square meters, a year-on-year increase of 160.5%, and domestic shipment ranking </w:t>
      </w:r>
      <w:r w:rsidR="008377A1" w:rsidRPr="00916B56">
        <w:rPr>
          <w:rFonts w:ascii="Times New Roman" w:hAnsi="Times New Roman" w:cs="Times New Roman" w:hint="eastAsia"/>
          <w:szCs w:val="21"/>
        </w:rPr>
        <w:t xml:space="preserve">rose </w:t>
      </w:r>
      <w:r w:rsidRPr="00916B56">
        <w:rPr>
          <w:rFonts w:ascii="Times New Roman" w:hAnsi="Times New Roman" w:cs="Times New Roman"/>
          <w:szCs w:val="21"/>
        </w:rPr>
        <w:t>to sixth place in the industry</w:t>
      </w:r>
      <w:r w:rsidR="008377A1" w:rsidRPr="00916B56">
        <w:rPr>
          <w:rFonts w:ascii="Times New Roman" w:hAnsi="Times New Roman" w:cs="Times New Roman" w:hint="eastAsia"/>
          <w:szCs w:val="21"/>
        </w:rPr>
        <w:t>.</w:t>
      </w:r>
      <w:r w:rsidRPr="00916B56">
        <w:rPr>
          <w:rFonts w:ascii="Times New Roman" w:hAnsi="Times New Roman" w:cs="Times New Roman"/>
          <w:szCs w:val="21"/>
        </w:rPr>
        <w:t xml:space="preserve"> A number of ultra-thin</w:t>
      </w:r>
      <w:r w:rsidR="005A211B" w:rsidRPr="00916B56">
        <w:rPr>
          <w:rFonts w:ascii="Times New Roman" w:hAnsi="Times New Roman" w:cs="Times New Roman" w:hint="eastAsia"/>
          <w:szCs w:val="21"/>
        </w:rPr>
        <w:t>,</w:t>
      </w:r>
      <w:r w:rsidRPr="00916B56">
        <w:rPr>
          <w:rFonts w:ascii="Times New Roman" w:hAnsi="Times New Roman" w:cs="Times New Roman"/>
          <w:szCs w:val="21"/>
        </w:rPr>
        <w:t xml:space="preserve"> high-strength and </w:t>
      </w:r>
      <w:r w:rsidR="00C15B95" w:rsidRPr="00916B56">
        <w:rPr>
          <w:rFonts w:ascii="Times New Roman" w:hAnsi="Times New Roman" w:cs="Times New Roman"/>
          <w:szCs w:val="21"/>
        </w:rPr>
        <w:t>high-porosity p</w:t>
      </w:r>
      <w:r w:rsidRPr="00916B56">
        <w:rPr>
          <w:rFonts w:ascii="Times New Roman" w:hAnsi="Times New Roman" w:cs="Times New Roman"/>
          <w:szCs w:val="21"/>
        </w:rPr>
        <w:t>roducts</w:t>
      </w:r>
      <w:r w:rsidR="005A211B" w:rsidRPr="00916B56">
        <w:rPr>
          <w:rFonts w:ascii="Times New Roman" w:hAnsi="Times New Roman" w:cs="Times New Roman" w:hint="eastAsia"/>
          <w:szCs w:val="21"/>
        </w:rPr>
        <w:t xml:space="preserve"> </w:t>
      </w:r>
      <w:r w:rsidRPr="00916B56">
        <w:rPr>
          <w:rFonts w:ascii="Times New Roman" w:hAnsi="Times New Roman" w:cs="Times New Roman"/>
          <w:szCs w:val="21"/>
        </w:rPr>
        <w:t xml:space="preserve">have </w:t>
      </w:r>
      <w:r w:rsidR="005A211B" w:rsidRPr="00916B56">
        <w:rPr>
          <w:rFonts w:ascii="Times New Roman" w:hAnsi="Times New Roman" w:cs="Times New Roman" w:hint="eastAsia"/>
          <w:szCs w:val="21"/>
        </w:rPr>
        <w:t>entered mass production, including 5</w:t>
      </w:r>
      <w:r w:rsidR="005A211B" w:rsidRPr="00916B56">
        <w:rPr>
          <w:rFonts w:ascii="Times New Roman" w:hAnsi="Times New Roman" w:cs="Times New Roman" w:hint="eastAsia"/>
          <w:szCs w:val="21"/>
        </w:rPr>
        <w:t>μ</w:t>
      </w:r>
      <w:r w:rsidR="005A211B" w:rsidRPr="00916B56">
        <w:rPr>
          <w:rFonts w:ascii="Times New Roman" w:hAnsi="Times New Roman" w:cs="Times New Roman" w:hint="eastAsia"/>
          <w:szCs w:val="21"/>
        </w:rPr>
        <w:t xml:space="preserve">m </w:t>
      </w:r>
      <w:r w:rsidRPr="00916B56">
        <w:rPr>
          <w:rFonts w:ascii="Times New Roman" w:hAnsi="Times New Roman" w:cs="Times New Roman"/>
          <w:szCs w:val="21"/>
        </w:rPr>
        <w:t xml:space="preserve">second-generation ultra-thin high-strength </w:t>
      </w:r>
      <w:r w:rsidR="00EA6A1B" w:rsidRPr="00916B56">
        <w:rPr>
          <w:rFonts w:ascii="Times New Roman" w:hAnsi="Times New Roman" w:cs="Times New Roman"/>
          <w:szCs w:val="21"/>
        </w:rPr>
        <w:t>separator</w:t>
      </w:r>
      <w:r w:rsidRPr="00916B56">
        <w:rPr>
          <w:rFonts w:ascii="Times New Roman" w:hAnsi="Times New Roman" w:cs="Times New Roman"/>
          <w:szCs w:val="21"/>
        </w:rPr>
        <w:t xml:space="preserve"> film</w:t>
      </w:r>
      <w:r w:rsidR="005A211B" w:rsidRPr="00916B56">
        <w:rPr>
          <w:rFonts w:ascii="Times New Roman" w:hAnsi="Times New Roman" w:cs="Times New Roman" w:hint="eastAsia"/>
          <w:szCs w:val="21"/>
        </w:rPr>
        <w:t>s</w:t>
      </w:r>
      <w:r w:rsidR="003D7AF3" w:rsidRPr="00916B56">
        <w:rPr>
          <w:rFonts w:ascii="Times New Roman" w:hAnsi="Times New Roman" w:cs="Times New Roman"/>
          <w:szCs w:val="21"/>
        </w:rPr>
        <w:t xml:space="preserve">, </w:t>
      </w:r>
      <w:r w:rsidR="005A211B" w:rsidRPr="00916B56">
        <w:rPr>
          <w:rFonts w:ascii="Times New Roman" w:hAnsi="Times New Roman" w:cs="Times New Roman" w:hint="eastAsia"/>
          <w:szCs w:val="21"/>
        </w:rPr>
        <w:t>which are at the forefront of the industry.</w:t>
      </w:r>
    </w:p>
    <w:p w14:paraId="150C755C" w14:textId="7CA76282" w:rsidR="00E63A80" w:rsidRPr="00916B56" w:rsidRDefault="00464551"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 xml:space="preserve">With the completion of the integrated separator film and coating facility at Sichuan </w:t>
      </w:r>
      <w:proofErr w:type="spellStart"/>
      <w:r w:rsidRPr="00916B56">
        <w:rPr>
          <w:rFonts w:ascii="Times New Roman" w:hAnsi="Times New Roman" w:cs="Times New Roman" w:hint="eastAsia"/>
          <w:szCs w:val="21"/>
        </w:rPr>
        <w:t>Zhuoqin</w:t>
      </w:r>
      <w:proofErr w:type="spellEnd"/>
      <w:r w:rsidRPr="00916B56">
        <w:rPr>
          <w:rFonts w:ascii="Times New Roman" w:hAnsi="Times New Roman" w:cs="Times New Roman" w:hint="eastAsia"/>
          <w:szCs w:val="21"/>
        </w:rPr>
        <w:t>, an additional 200 million square meters of annual capacity will be added, further enhancing self-sufficiency.</w:t>
      </w:r>
    </w:p>
    <w:p w14:paraId="19FEFE80" w14:textId="5A772A79"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(3) Current Collector and Composite Current Collector</w:t>
      </w:r>
      <w:r w:rsidR="00464551" w:rsidRPr="00916B56">
        <w:rPr>
          <w:rFonts w:ascii="Times New Roman" w:hAnsi="Times New Roman" w:cs="Times New Roman" w:hint="eastAsia"/>
          <w:szCs w:val="21"/>
        </w:rPr>
        <w:t>s</w:t>
      </w:r>
    </w:p>
    <w:p w14:paraId="66763131" w14:textId="74946B03"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In terms of current collectors, </w:t>
      </w:r>
      <w:r w:rsidR="00464551" w:rsidRPr="00916B56">
        <w:rPr>
          <w:rFonts w:ascii="Times New Roman" w:hAnsi="Times New Roman" w:cs="Times New Roman" w:hint="eastAsia"/>
          <w:szCs w:val="21"/>
        </w:rPr>
        <w:t xml:space="preserve">products such as </w:t>
      </w:r>
      <w:r w:rsidRPr="00916B56">
        <w:rPr>
          <w:rFonts w:ascii="Times New Roman" w:hAnsi="Times New Roman" w:cs="Times New Roman"/>
          <w:szCs w:val="21"/>
        </w:rPr>
        <w:t>high-strength and high-</w:t>
      </w:r>
      <w:r w:rsidR="00464551" w:rsidRPr="00916B56">
        <w:rPr>
          <w:rFonts w:ascii="Times New Roman" w:hAnsi="Times New Roman" w:cs="Times New Roman" w:hint="eastAsia"/>
          <w:szCs w:val="21"/>
        </w:rPr>
        <w:t xml:space="preserve">ductility </w:t>
      </w:r>
      <w:r w:rsidRPr="00916B56">
        <w:rPr>
          <w:rFonts w:ascii="Times New Roman" w:hAnsi="Times New Roman" w:cs="Times New Roman"/>
          <w:szCs w:val="21"/>
        </w:rPr>
        <w:t xml:space="preserve">alloy foils, super-strength foil </w:t>
      </w:r>
      <w:r w:rsidR="00FD58D8" w:rsidRPr="00916B56">
        <w:rPr>
          <w:rFonts w:ascii="Times New Roman" w:hAnsi="Times New Roman" w:cs="Times New Roman" w:hint="eastAsia"/>
          <w:szCs w:val="21"/>
        </w:rPr>
        <w:t xml:space="preserve">for </w:t>
      </w:r>
      <w:r w:rsidRPr="00916B56">
        <w:rPr>
          <w:rFonts w:ascii="Times New Roman" w:hAnsi="Times New Roman" w:cs="Times New Roman"/>
          <w:szCs w:val="21"/>
        </w:rPr>
        <w:t>solid-state battery system, as well as mesh perforated copper foil</w:t>
      </w:r>
      <w:r w:rsidR="00FD58D8" w:rsidRPr="00916B56">
        <w:rPr>
          <w:rFonts w:ascii="Times New Roman" w:hAnsi="Times New Roman" w:cs="Times New Roman" w:hint="eastAsia"/>
          <w:szCs w:val="21"/>
        </w:rPr>
        <w:t>s</w:t>
      </w:r>
      <w:r w:rsidR="003532B1" w:rsidRPr="00916B56">
        <w:rPr>
          <w:rFonts w:ascii="Times New Roman" w:hAnsi="Times New Roman" w:cs="Times New Roman"/>
          <w:szCs w:val="21"/>
        </w:rPr>
        <w:t xml:space="preserve"> have entered </w:t>
      </w:r>
      <w:r w:rsidRPr="00916B56">
        <w:rPr>
          <w:rFonts w:ascii="Times New Roman" w:hAnsi="Times New Roman" w:cs="Times New Roman"/>
          <w:szCs w:val="21"/>
        </w:rPr>
        <w:t xml:space="preserve">customer evaluation stage. </w:t>
      </w:r>
      <w:r w:rsidR="00FD58D8" w:rsidRPr="00916B56">
        <w:rPr>
          <w:rFonts w:ascii="Times New Roman" w:hAnsi="Times New Roman" w:cs="Times New Roman" w:hint="eastAsia"/>
          <w:szCs w:val="21"/>
        </w:rPr>
        <w:t>For</w:t>
      </w:r>
      <w:r w:rsidRPr="00916B56">
        <w:rPr>
          <w:rFonts w:ascii="Times New Roman" w:hAnsi="Times New Roman" w:cs="Times New Roman"/>
          <w:szCs w:val="21"/>
        </w:rPr>
        <w:t xml:space="preserve"> composite</w:t>
      </w:r>
      <w:r w:rsidR="003532B1" w:rsidRPr="00916B56">
        <w:rPr>
          <w:rFonts w:ascii="Times New Roman" w:hAnsi="Times New Roman" w:cs="Times New Roman"/>
          <w:szCs w:val="21"/>
        </w:rPr>
        <w:t xml:space="preserve"> copper foil current collectors, </w:t>
      </w:r>
      <w:r w:rsidRPr="00916B56">
        <w:rPr>
          <w:rFonts w:ascii="Times New Roman" w:hAnsi="Times New Roman" w:cs="Times New Roman"/>
          <w:szCs w:val="21"/>
        </w:rPr>
        <w:t xml:space="preserve">development has been completed, product testing and improvement are </w:t>
      </w:r>
      <w:r w:rsidR="00FD58D8" w:rsidRPr="00916B56">
        <w:rPr>
          <w:rFonts w:ascii="Times New Roman" w:hAnsi="Times New Roman" w:cs="Times New Roman" w:hint="eastAsia"/>
          <w:szCs w:val="21"/>
        </w:rPr>
        <w:t xml:space="preserve">being conducted jointly </w:t>
      </w:r>
      <w:r w:rsidRPr="00916B56">
        <w:rPr>
          <w:rFonts w:ascii="Times New Roman" w:hAnsi="Times New Roman" w:cs="Times New Roman"/>
          <w:szCs w:val="21"/>
        </w:rPr>
        <w:t xml:space="preserve">with downstream customers </w:t>
      </w:r>
      <w:r w:rsidR="00FD58D8" w:rsidRPr="00916B56">
        <w:rPr>
          <w:rFonts w:ascii="Times New Roman" w:hAnsi="Times New Roman" w:cs="Times New Roman" w:hint="eastAsia"/>
          <w:szCs w:val="21"/>
        </w:rPr>
        <w:t xml:space="preserve">while </w:t>
      </w:r>
      <w:r w:rsidRPr="00916B56">
        <w:rPr>
          <w:rFonts w:ascii="Times New Roman" w:hAnsi="Times New Roman" w:cs="Times New Roman"/>
          <w:szCs w:val="21"/>
        </w:rPr>
        <w:t xml:space="preserve">the mass production workshop has been completed. </w:t>
      </w:r>
      <w:r w:rsidR="00FD58D8" w:rsidRPr="00916B56">
        <w:rPr>
          <w:rFonts w:ascii="Times New Roman" w:hAnsi="Times New Roman" w:cs="Times New Roman" w:hint="eastAsia"/>
          <w:szCs w:val="21"/>
        </w:rPr>
        <w:t>C</w:t>
      </w:r>
      <w:r w:rsidRPr="00916B56">
        <w:rPr>
          <w:rFonts w:ascii="Times New Roman" w:hAnsi="Times New Roman" w:cs="Times New Roman"/>
          <w:szCs w:val="21"/>
        </w:rPr>
        <w:t xml:space="preserve">omposite </w:t>
      </w:r>
      <w:r w:rsidR="003532B1" w:rsidRPr="00916B56">
        <w:rPr>
          <w:rFonts w:ascii="Times New Roman" w:hAnsi="Times New Roman" w:cs="Times New Roman"/>
          <w:szCs w:val="21"/>
        </w:rPr>
        <w:t xml:space="preserve">aluminum foil current collectors </w:t>
      </w:r>
      <w:r w:rsidR="00793FEF" w:rsidRPr="00916B56">
        <w:rPr>
          <w:rFonts w:ascii="Times New Roman" w:hAnsi="Times New Roman" w:cs="Times New Roman" w:hint="eastAsia"/>
          <w:szCs w:val="21"/>
        </w:rPr>
        <w:t xml:space="preserve">have </w:t>
      </w:r>
      <w:r w:rsidRPr="00916B56">
        <w:rPr>
          <w:rFonts w:ascii="Times New Roman" w:hAnsi="Times New Roman" w:cs="Times New Roman"/>
          <w:szCs w:val="21"/>
        </w:rPr>
        <w:t xml:space="preserve">passed customer </w:t>
      </w:r>
      <w:r w:rsidR="00793FEF" w:rsidRPr="00916B56">
        <w:rPr>
          <w:rFonts w:ascii="Times New Roman" w:hAnsi="Times New Roman" w:cs="Times New Roman" w:hint="eastAsia"/>
          <w:szCs w:val="21"/>
        </w:rPr>
        <w:t>validation</w:t>
      </w:r>
      <w:r w:rsidRPr="00916B56">
        <w:rPr>
          <w:rFonts w:ascii="Times New Roman" w:hAnsi="Times New Roman" w:cs="Times New Roman"/>
          <w:szCs w:val="21"/>
        </w:rPr>
        <w:t xml:space="preserve"> and completed small-batch cell trial</w:t>
      </w:r>
      <w:r w:rsidR="00793FEF" w:rsidRPr="00916B56">
        <w:rPr>
          <w:rFonts w:ascii="Times New Roman" w:hAnsi="Times New Roman" w:cs="Times New Roman" w:hint="eastAsia"/>
          <w:szCs w:val="21"/>
        </w:rPr>
        <w:t>s</w:t>
      </w:r>
      <w:r w:rsidRPr="00916B56">
        <w:rPr>
          <w:rFonts w:ascii="Times New Roman" w:hAnsi="Times New Roman" w:cs="Times New Roman"/>
          <w:szCs w:val="21"/>
        </w:rPr>
        <w:t xml:space="preserve">, which is the only technical solution in the industry that meets </w:t>
      </w:r>
      <w:r w:rsidR="00793FEF" w:rsidRPr="00916B56">
        <w:rPr>
          <w:rFonts w:ascii="Times New Roman" w:hAnsi="Times New Roman" w:cs="Times New Roman" w:hint="eastAsia"/>
          <w:szCs w:val="21"/>
        </w:rPr>
        <w:t>both</w:t>
      </w:r>
      <w:r w:rsidRPr="00916B56">
        <w:rPr>
          <w:rFonts w:ascii="Times New Roman" w:hAnsi="Times New Roman" w:cs="Times New Roman"/>
          <w:szCs w:val="21"/>
        </w:rPr>
        <w:t xml:space="preserve"> 3C fast</w:t>
      </w:r>
      <w:r w:rsidR="00793FEF" w:rsidRPr="00916B56">
        <w:rPr>
          <w:rFonts w:ascii="Times New Roman" w:hAnsi="Times New Roman" w:cs="Times New Roman" w:hint="eastAsia"/>
          <w:szCs w:val="21"/>
        </w:rPr>
        <w:t>-</w:t>
      </w:r>
      <w:r w:rsidRPr="00916B56">
        <w:rPr>
          <w:rFonts w:ascii="Times New Roman" w:hAnsi="Times New Roman" w:cs="Times New Roman"/>
          <w:szCs w:val="21"/>
        </w:rPr>
        <w:t>charging and high safety</w:t>
      </w:r>
      <w:r w:rsidR="00793FEF" w:rsidRPr="00916B56">
        <w:rPr>
          <w:rFonts w:ascii="Times New Roman" w:hAnsi="Times New Roman" w:cs="Times New Roman" w:hint="eastAsia"/>
          <w:szCs w:val="21"/>
        </w:rPr>
        <w:t xml:space="preserve"> requir</w:t>
      </w:r>
      <w:r w:rsidR="00036AF1" w:rsidRPr="00916B56">
        <w:rPr>
          <w:rFonts w:ascii="Times New Roman" w:hAnsi="Times New Roman" w:cs="Times New Roman" w:hint="eastAsia"/>
          <w:szCs w:val="21"/>
        </w:rPr>
        <w:t>e</w:t>
      </w:r>
      <w:r w:rsidR="00793FEF" w:rsidRPr="00916B56">
        <w:rPr>
          <w:rFonts w:ascii="Times New Roman" w:hAnsi="Times New Roman" w:cs="Times New Roman" w:hint="eastAsia"/>
          <w:szCs w:val="21"/>
        </w:rPr>
        <w:t>ments</w:t>
      </w:r>
      <w:r w:rsidRPr="00916B56">
        <w:rPr>
          <w:rFonts w:ascii="Times New Roman" w:hAnsi="Times New Roman" w:cs="Times New Roman"/>
          <w:szCs w:val="21"/>
        </w:rPr>
        <w:t>.</w:t>
      </w:r>
    </w:p>
    <w:p w14:paraId="5F4A0395" w14:textId="7777777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2. Anode Materials</w:t>
      </w:r>
    </w:p>
    <w:p w14:paraId="357862B7" w14:textId="32B1C630"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The Company is a global </w:t>
      </w:r>
      <w:r w:rsidR="00036AF1" w:rsidRPr="00916B56">
        <w:rPr>
          <w:rFonts w:ascii="Times New Roman" w:hAnsi="Times New Roman" w:cs="Times New Roman" w:hint="eastAsia"/>
          <w:szCs w:val="21"/>
        </w:rPr>
        <w:t xml:space="preserve">leader </w:t>
      </w:r>
      <w:r w:rsidRPr="00916B56">
        <w:rPr>
          <w:rFonts w:ascii="Times New Roman" w:hAnsi="Times New Roman" w:cs="Times New Roman"/>
          <w:szCs w:val="21"/>
        </w:rPr>
        <w:t>focusing on medium and high-end artificial graphite anode materials</w:t>
      </w:r>
      <w:r w:rsidR="00036AF1" w:rsidRPr="00916B56">
        <w:rPr>
          <w:rFonts w:ascii="Times New Roman" w:hAnsi="Times New Roman" w:cs="Times New Roman" w:hint="eastAsia"/>
          <w:szCs w:val="21"/>
        </w:rPr>
        <w:t>, with</w:t>
      </w:r>
      <w:r w:rsidRPr="00916B56">
        <w:rPr>
          <w:rFonts w:ascii="Times New Roman" w:hAnsi="Times New Roman" w:cs="Times New Roman"/>
          <w:szCs w:val="21"/>
        </w:rPr>
        <w:t xml:space="preserve"> an annual production capacity of 250,000 tons </w:t>
      </w:r>
      <w:r w:rsidR="00036AF1" w:rsidRPr="00916B56">
        <w:rPr>
          <w:rFonts w:ascii="Times New Roman" w:hAnsi="Times New Roman" w:cs="Times New Roman" w:hint="eastAsia"/>
          <w:szCs w:val="21"/>
        </w:rPr>
        <w:t xml:space="preserve">as </w:t>
      </w:r>
      <w:r w:rsidRPr="00916B56">
        <w:rPr>
          <w:rFonts w:ascii="Times New Roman" w:hAnsi="Times New Roman" w:cs="Times New Roman"/>
          <w:szCs w:val="21"/>
        </w:rPr>
        <w:t>of</w:t>
      </w:r>
      <w:r w:rsidR="00036AF1" w:rsidRPr="00916B56">
        <w:rPr>
          <w:rFonts w:ascii="Times New Roman" w:hAnsi="Times New Roman" w:cs="Times New Roman" w:hint="eastAsia"/>
          <w:szCs w:val="21"/>
        </w:rPr>
        <w:t xml:space="preserve"> the end of 2025</w:t>
      </w:r>
      <w:r w:rsidRPr="00916B56">
        <w:rPr>
          <w:rFonts w:ascii="Times New Roman" w:hAnsi="Times New Roman" w:cs="Times New Roman"/>
          <w:szCs w:val="21"/>
        </w:rPr>
        <w:t>.</w:t>
      </w:r>
    </w:p>
    <w:p w14:paraId="666FDC6C" w14:textId="405AA06A"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During the reporting period, the Company </w:t>
      </w:r>
      <w:r w:rsidR="002468D1" w:rsidRPr="00916B56">
        <w:rPr>
          <w:rFonts w:ascii="Times New Roman" w:hAnsi="Times New Roman" w:cs="Times New Roman" w:hint="eastAsia"/>
          <w:szCs w:val="21"/>
        </w:rPr>
        <w:t xml:space="preserve">leveraged its strengths in customized products for </w:t>
      </w:r>
      <w:r w:rsidR="002468D1" w:rsidRPr="00916B56">
        <w:rPr>
          <w:rFonts w:ascii="Times New Roman" w:hAnsi="Times New Roman" w:cs="Times New Roman"/>
          <w:szCs w:val="21"/>
        </w:rPr>
        <w:t>medium</w:t>
      </w:r>
      <w:r w:rsidR="002468D1" w:rsidRPr="00916B56">
        <w:rPr>
          <w:rFonts w:ascii="Times New Roman" w:hAnsi="Times New Roman" w:cs="Times New Roman" w:hint="eastAsia"/>
          <w:szCs w:val="21"/>
        </w:rPr>
        <w:t>-</w:t>
      </w:r>
      <w:r w:rsidR="002468D1" w:rsidRPr="00916B56">
        <w:rPr>
          <w:rFonts w:ascii="Times New Roman" w:hAnsi="Times New Roman" w:cs="Times New Roman"/>
          <w:szCs w:val="21"/>
        </w:rPr>
        <w:t xml:space="preserve"> </w:t>
      </w:r>
      <w:r w:rsidR="002468D1" w:rsidRPr="00916B56">
        <w:rPr>
          <w:rFonts w:ascii="Times New Roman" w:hAnsi="Times New Roman" w:cs="Times New Roman" w:hint="eastAsia"/>
          <w:szCs w:val="21"/>
        </w:rPr>
        <w:t>and high-end customers, focusing on differentiated offerings tailored to</w:t>
      </w:r>
      <w:r w:rsidR="002468D1" w:rsidRPr="00916B56">
        <w:rPr>
          <w:rFonts w:ascii="Times New Roman" w:hAnsi="Times New Roman" w:cs="Times New Roman"/>
          <w:szCs w:val="21"/>
        </w:rPr>
        <w:t xml:space="preserve"> </w:t>
      </w:r>
      <w:r w:rsidRPr="00916B56">
        <w:rPr>
          <w:rFonts w:ascii="Times New Roman" w:hAnsi="Times New Roman" w:cs="Times New Roman"/>
          <w:szCs w:val="21"/>
        </w:rPr>
        <w:t>fast charging, long cycle life and high capacity</w:t>
      </w:r>
      <w:r w:rsidR="002468D1" w:rsidRPr="00916B56">
        <w:rPr>
          <w:rFonts w:ascii="Times New Roman" w:hAnsi="Times New Roman" w:cs="Times New Roman" w:hint="eastAsia"/>
          <w:szCs w:val="21"/>
        </w:rPr>
        <w:t xml:space="preserve"> requirements. A</w:t>
      </w:r>
      <w:r w:rsidRPr="00916B56">
        <w:rPr>
          <w:rFonts w:ascii="Times New Roman" w:hAnsi="Times New Roman" w:cs="Times New Roman"/>
          <w:szCs w:val="21"/>
        </w:rPr>
        <w:t xml:space="preserve">nnual shipment reached 143,000 tons, a year-on-year increase of 8.1%. The Company also effectively reduced costs through integrated process optimization, </w:t>
      </w:r>
      <w:r w:rsidR="002468D1" w:rsidRPr="00916B56">
        <w:rPr>
          <w:rFonts w:ascii="Times New Roman" w:hAnsi="Times New Roman" w:cs="Times New Roman"/>
          <w:szCs w:val="21"/>
        </w:rPr>
        <w:t>technical upgrades in</w:t>
      </w:r>
      <w:r w:rsidR="002468D1" w:rsidRPr="00916B56">
        <w:rPr>
          <w:rFonts w:ascii="Times New Roman" w:hAnsi="Times New Roman" w:cs="Times New Roman" w:hint="eastAsia"/>
          <w:szCs w:val="21"/>
        </w:rPr>
        <w:t xml:space="preserve"> </w:t>
      </w:r>
      <w:r w:rsidRPr="00916B56">
        <w:rPr>
          <w:rFonts w:ascii="Times New Roman" w:hAnsi="Times New Roman" w:cs="Times New Roman"/>
          <w:szCs w:val="21"/>
        </w:rPr>
        <w:t>graphitization and</w:t>
      </w:r>
      <w:r w:rsidR="002468D1" w:rsidRPr="00916B56">
        <w:rPr>
          <w:rFonts w:ascii="Times New Roman" w:hAnsi="Times New Roman" w:cs="Times New Roman" w:hint="eastAsia"/>
          <w:szCs w:val="21"/>
        </w:rPr>
        <w:t xml:space="preserve"> </w:t>
      </w:r>
      <w:r w:rsidR="002468D1" w:rsidRPr="00916B56">
        <w:rPr>
          <w:rFonts w:ascii="Times New Roman" w:hAnsi="Times New Roman" w:cs="Times New Roman"/>
          <w:szCs w:val="21"/>
        </w:rPr>
        <w:t>the refinement of</w:t>
      </w:r>
      <w:r w:rsidRPr="00916B56">
        <w:rPr>
          <w:rFonts w:ascii="Times New Roman" w:hAnsi="Times New Roman" w:cs="Times New Roman"/>
          <w:szCs w:val="21"/>
        </w:rPr>
        <w:t xml:space="preserve"> </w:t>
      </w:r>
      <w:r w:rsidR="003532B1" w:rsidRPr="00916B56">
        <w:rPr>
          <w:rFonts w:ascii="Times New Roman" w:hAnsi="Times New Roman" w:cs="Times New Roman"/>
          <w:szCs w:val="21"/>
        </w:rPr>
        <w:t>power transmission curve</w:t>
      </w:r>
      <w:r w:rsidR="002468D1" w:rsidRPr="00916B56">
        <w:rPr>
          <w:rFonts w:ascii="Times New Roman" w:hAnsi="Times New Roman" w:cs="Times New Roman" w:hint="eastAsia"/>
          <w:szCs w:val="21"/>
        </w:rPr>
        <w:t xml:space="preserve">. By improving </w:t>
      </w:r>
      <w:r w:rsidRPr="00916B56">
        <w:rPr>
          <w:rFonts w:ascii="Times New Roman" w:hAnsi="Times New Roman" w:cs="Times New Roman"/>
          <w:szCs w:val="21"/>
        </w:rPr>
        <w:t xml:space="preserve">raw material formula, </w:t>
      </w:r>
      <w:r w:rsidR="002468D1" w:rsidRPr="00916B56">
        <w:rPr>
          <w:rFonts w:ascii="Times New Roman" w:hAnsi="Times New Roman" w:cs="Times New Roman" w:hint="eastAsia"/>
          <w:szCs w:val="21"/>
        </w:rPr>
        <w:t>and enhan</w:t>
      </w:r>
      <w:r w:rsidR="002E57DA" w:rsidRPr="00916B56">
        <w:rPr>
          <w:rFonts w:ascii="Times New Roman" w:hAnsi="Times New Roman" w:cs="Times New Roman" w:hint="eastAsia"/>
          <w:szCs w:val="21"/>
        </w:rPr>
        <w:t xml:space="preserve">cing </w:t>
      </w:r>
      <w:r w:rsidRPr="00916B56">
        <w:rPr>
          <w:rFonts w:ascii="Times New Roman" w:hAnsi="Times New Roman" w:cs="Times New Roman"/>
          <w:szCs w:val="21"/>
        </w:rPr>
        <w:t xml:space="preserve">cross-base production </w:t>
      </w:r>
      <w:r w:rsidR="00DC6F7E">
        <w:rPr>
          <w:rFonts w:ascii="Times New Roman" w:hAnsi="Times New Roman" w:cs="Times New Roman"/>
          <w:szCs w:val="21"/>
        </w:rPr>
        <w:t>synergies</w:t>
      </w:r>
      <w:r w:rsidR="00DC6F7E">
        <w:rPr>
          <w:rFonts w:ascii="Times New Roman" w:hAnsi="Times New Roman" w:cs="Times New Roman" w:hint="eastAsia"/>
          <w:szCs w:val="21"/>
        </w:rPr>
        <w:t>,</w:t>
      </w:r>
      <w:r w:rsidR="00DC6F7E">
        <w:rPr>
          <w:rFonts w:ascii="Times New Roman" w:hAnsi="Times New Roman" w:cs="Times New Roman"/>
          <w:szCs w:val="21"/>
        </w:rPr>
        <w:t xml:space="preserve"> </w:t>
      </w:r>
      <w:r w:rsidR="003532B1" w:rsidRPr="00916B56">
        <w:rPr>
          <w:rFonts w:ascii="Times New Roman" w:hAnsi="Times New Roman" w:cs="Times New Roman"/>
          <w:szCs w:val="21"/>
        </w:rPr>
        <w:t>etc.,</w:t>
      </w:r>
      <w:r w:rsidRPr="00916B56">
        <w:rPr>
          <w:rFonts w:ascii="Times New Roman" w:hAnsi="Times New Roman" w:cs="Times New Roman"/>
          <w:szCs w:val="21"/>
        </w:rPr>
        <w:t xml:space="preserve"> the </w:t>
      </w:r>
      <w:r w:rsidR="002E57DA" w:rsidRPr="00916B56">
        <w:rPr>
          <w:rFonts w:ascii="Times New Roman" w:hAnsi="Times New Roman" w:cs="Times New Roman" w:hint="eastAsia"/>
          <w:szCs w:val="21"/>
        </w:rPr>
        <w:t xml:space="preserve">Company </w:t>
      </w:r>
      <w:r w:rsidRPr="00916B56">
        <w:rPr>
          <w:rFonts w:ascii="Times New Roman" w:hAnsi="Times New Roman" w:cs="Times New Roman"/>
          <w:szCs w:val="21"/>
        </w:rPr>
        <w:t>achieved a year-on-year increase</w:t>
      </w:r>
      <w:r w:rsidR="002E57DA" w:rsidRPr="00916B56">
        <w:rPr>
          <w:rFonts w:ascii="Times New Roman" w:hAnsi="Times New Roman" w:cs="Times New Roman" w:hint="eastAsia"/>
          <w:szCs w:val="21"/>
        </w:rPr>
        <w:t xml:space="preserve"> </w:t>
      </w:r>
      <w:r w:rsidR="002E57DA" w:rsidRPr="00916B56">
        <w:rPr>
          <w:rFonts w:ascii="Times New Roman" w:hAnsi="Times New Roman" w:cs="Times New Roman"/>
          <w:szCs w:val="21"/>
        </w:rPr>
        <w:t>in gross profit margin</w:t>
      </w:r>
      <w:r w:rsidRPr="00916B56">
        <w:rPr>
          <w:rFonts w:ascii="Times New Roman" w:hAnsi="Times New Roman" w:cs="Times New Roman"/>
          <w:szCs w:val="21"/>
        </w:rPr>
        <w:t>.</w:t>
      </w:r>
    </w:p>
    <w:p w14:paraId="6C68022F" w14:textId="690CDC6D"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In terms of </w:t>
      </w:r>
      <w:r w:rsidR="002E57DA" w:rsidRPr="00916B56">
        <w:rPr>
          <w:rFonts w:ascii="Times New Roman" w:hAnsi="Times New Roman" w:cs="Times New Roman"/>
          <w:szCs w:val="21"/>
        </w:rPr>
        <w:t>R&amp;D</w:t>
      </w:r>
      <w:r w:rsidRPr="00916B56">
        <w:rPr>
          <w:rFonts w:ascii="Times New Roman" w:hAnsi="Times New Roman" w:cs="Times New Roman"/>
          <w:szCs w:val="21"/>
        </w:rPr>
        <w:t xml:space="preserve">, </w:t>
      </w:r>
      <w:r w:rsidR="002E57DA" w:rsidRPr="00916B56">
        <w:rPr>
          <w:rFonts w:ascii="Times New Roman" w:hAnsi="Times New Roman" w:cs="Times New Roman"/>
          <w:szCs w:val="21"/>
        </w:rPr>
        <w:t>several new products—</w:t>
      </w:r>
      <w:r w:rsidRPr="00916B56">
        <w:rPr>
          <w:rFonts w:ascii="Times New Roman" w:hAnsi="Times New Roman" w:cs="Times New Roman"/>
          <w:szCs w:val="21"/>
        </w:rPr>
        <w:t xml:space="preserve">including long-life, low-expansion, </w:t>
      </w:r>
      <w:r w:rsidR="002E57DA" w:rsidRPr="00916B56">
        <w:rPr>
          <w:rFonts w:ascii="Times New Roman" w:hAnsi="Times New Roman" w:cs="Times New Roman" w:hint="eastAsia"/>
          <w:szCs w:val="21"/>
        </w:rPr>
        <w:t xml:space="preserve">and </w:t>
      </w:r>
      <w:r w:rsidRPr="00916B56">
        <w:rPr>
          <w:rFonts w:ascii="Times New Roman" w:hAnsi="Times New Roman" w:cs="Times New Roman"/>
          <w:szCs w:val="21"/>
        </w:rPr>
        <w:t>high-energy density artificial graphite anodes</w:t>
      </w:r>
      <w:r w:rsidR="002E57DA" w:rsidRPr="00916B56">
        <w:rPr>
          <w:rFonts w:ascii="Times New Roman" w:hAnsi="Times New Roman" w:cs="Times New Roman" w:hint="eastAsia"/>
          <w:szCs w:val="21"/>
        </w:rPr>
        <w:t>--</w:t>
      </w:r>
      <w:r w:rsidRPr="00916B56">
        <w:rPr>
          <w:rFonts w:ascii="Times New Roman" w:hAnsi="Times New Roman" w:cs="Times New Roman"/>
          <w:szCs w:val="21"/>
        </w:rPr>
        <w:t xml:space="preserve">have </w:t>
      </w:r>
      <w:r w:rsidR="002E57DA" w:rsidRPr="00916B56">
        <w:rPr>
          <w:rFonts w:ascii="Times New Roman" w:hAnsi="Times New Roman" w:cs="Times New Roman" w:hint="eastAsia"/>
          <w:szCs w:val="21"/>
        </w:rPr>
        <w:t xml:space="preserve">entered </w:t>
      </w:r>
      <w:r w:rsidRPr="00916B56">
        <w:rPr>
          <w:rFonts w:ascii="Times New Roman" w:hAnsi="Times New Roman" w:cs="Times New Roman"/>
          <w:szCs w:val="21"/>
        </w:rPr>
        <w:t xml:space="preserve">mass-produced and </w:t>
      </w:r>
      <w:r w:rsidR="002E57DA" w:rsidRPr="00916B56">
        <w:rPr>
          <w:rFonts w:ascii="Times New Roman" w:hAnsi="Times New Roman" w:cs="Times New Roman"/>
          <w:szCs w:val="21"/>
        </w:rPr>
        <w:t>been integrated into the supply chains of key customers across the EV, energy storage, and consumer electronics sectors.</w:t>
      </w:r>
      <w:r w:rsidR="002E57DA" w:rsidRPr="00916B56">
        <w:t xml:space="preserve"> </w:t>
      </w:r>
      <w:r w:rsidR="002E57DA" w:rsidRPr="00916B56">
        <w:rPr>
          <w:rFonts w:ascii="Times New Roman" w:hAnsi="Times New Roman" w:cs="Times New Roman"/>
          <w:szCs w:val="21"/>
        </w:rPr>
        <w:t>Furthermore, CVD silicon-carbon anodes are now being supplied in batches to consumer battery clients, while validation with EV battery manufacturers continues to progress.</w:t>
      </w:r>
    </w:p>
    <w:p w14:paraId="6D28B4F1" w14:textId="6C2170B6" w:rsidR="00E63A80" w:rsidRPr="00916B56" w:rsidRDefault="002E57DA" w:rsidP="00CC71BF">
      <w:pPr>
        <w:spacing w:line="360" w:lineRule="auto"/>
        <w:ind w:firstLineChars="200" w:firstLine="420"/>
        <w:rPr>
          <w:rFonts w:ascii="Times New Roman" w:hAnsi="Times New Roman" w:cs="Times New Roman"/>
          <w:strike/>
          <w:szCs w:val="21"/>
        </w:rPr>
      </w:pPr>
      <w:r w:rsidRPr="00916B56">
        <w:rPr>
          <w:rFonts w:ascii="Times New Roman" w:hAnsi="Times New Roman" w:cs="Times New Roman"/>
          <w:szCs w:val="21"/>
        </w:rPr>
        <w:t>Moving forward,</w:t>
      </w:r>
      <w:r w:rsidR="00C523DD" w:rsidRPr="00916B56">
        <w:rPr>
          <w:rFonts w:ascii="Times New Roman" w:hAnsi="Times New Roman" w:cs="Times New Roman"/>
          <w:szCs w:val="21"/>
        </w:rPr>
        <w:t xml:space="preserve"> </w:t>
      </w:r>
      <w:r w:rsidR="00E63A80" w:rsidRPr="00916B56">
        <w:rPr>
          <w:rFonts w:ascii="Times New Roman" w:hAnsi="Times New Roman" w:cs="Times New Roman"/>
          <w:szCs w:val="21"/>
        </w:rPr>
        <w:t xml:space="preserve">the Company will continue to reduce costs and increase efficiency through </w:t>
      </w:r>
      <w:r w:rsidR="00CA4C92" w:rsidRPr="00916B56">
        <w:rPr>
          <w:rFonts w:ascii="Times New Roman" w:hAnsi="Times New Roman" w:cs="Times New Roman" w:hint="eastAsia"/>
          <w:szCs w:val="21"/>
        </w:rPr>
        <w:t xml:space="preserve">capacity expansion projects in Sichuan </w:t>
      </w:r>
      <w:proofErr w:type="spellStart"/>
      <w:r w:rsidR="00CA4C92" w:rsidRPr="00916B56">
        <w:rPr>
          <w:rFonts w:ascii="Times New Roman" w:hAnsi="Times New Roman" w:cs="Times New Roman" w:hint="eastAsia"/>
          <w:szCs w:val="21"/>
        </w:rPr>
        <w:t>Zichen</w:t>
      </w:r>
      <w:proofErr w:type="spellEnd"/>
      <w:r w:rsidR="00CA4C92" w:rsidRPr="00916B56">
        <w:rPr>
          <w:rFonts w:ascii="Times New Roman" w:hAnsi="Times New Roman" w:cs="Times New Roman" w:hint="eastAsia"/>
          <w:szCs w:val="21"/>
        </w:rPr>
        <w:t xml:space="preserve"> and Anhui </w:t>
      </w:r>
      <w:proofErr w:type="spellStart"/>
      <w:r w:rsidR="00CA4C92" w:rsidRPr="00916B56">
        <w:rPr>
          <w:rFonts w:ascii="Times New Roman" w:hAnsi="Times New Roman" w:cs="Times New Roman" w:hint="eastAsia"/>
          <w:szCs w:val="21"/>
        </w:rPr>
        <w:t>Zichen</w:t>
      </w:r>
      <w:proofErr w:type="spellEnd"/>
      <w:r w:rsidR="00CA4C92" w:rsidRPr="00916B56">
        <w:rPr>
          <w:rFonts w:ascii="Times New Roman" w:hAnsi="Times New Roman" w:cs="Times New Roman" w:hint="eastAsia"/>
          <w:szCs w:val="21"/>
        </w:rPr>
        <w:t xml:space="preserve">. This </w:t>
      </w:r>
      <w:r w:rsidR="00C523DD" w:rsidRPr="00916B56">
        <w:rPr>
          <w:rFonts w:ascii="Times New Roman" w:hAnsi="Times New Roman" w:cs="Times New Roman"/>
          <w:szCs w:val="21"/>
        </w:rPr>
        <w:t>advancement</w:t>
      </w:r>
      <w:r w:rsidR="00CA4C92" w:rsidRPr="00916B56">
        <w:rPr>
          <w:rFonts w:ascii="Times New Roman" w:hAnsi="Times New Roman" w:cs="Times New Roman"/>
          <w:szCs w:val="21"/>
        </w:rPr>
        <w:t xml:space="preserve"> will strengthen</w:t>
      </w:r>
      <w:r w:rsidR="00CA4C92" w:rsidRPr="00916B56">
        <w:rPr>
          <w:rFonts w:ascii="Times New Roman" w:hAnsi="Times New Roman" w:cs="Times New Roman" w:hint="eastAsia"/>
          <w:szCs w:val="21"/>
        </w:rPr>
        <w:t xml:space="preserve"> our ability to serve top-tier global customers by </w:t>
      </w:r>
      <w:r w:rsidR="00CA4C92" w:rsidRPr="00916B56">
        <w:rPr>
          <w:rFonts w:ascii="Times New Roman" w:hAnsi="Times New Roman" w:cs="Times New Roman"/>
          <w:szCs w:val="21"/>
        </w:rPr>
        <w:t>delivering differentiated products and ensuring reliable quality</w:t>
      </w:r>
      <w:r w:rsidR="00CA4C92" w:rsidRPr="00916B56">
        <w:rPr>
          <w:rFonts w:ascii="Times New Roman" w:hAnsi="Times New Roman" w:cs="Times New Roman" w:hint="eastAsia"/>
          <w:szCs w:val="21"/>
        </w:rPr>
        <w:t>.</w:t>
      </w:r>
    </w:p>
    <w:p w14:paraId="4DB262BB" w14:textId="7777777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3. Functional Materials</w:t>
      </w:r>
    </w:p>
    <w:p w14:paraId="4F829066" w14:textId="177BAF14"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(1) PVDF</w:t>
      </w:r>
    </w:p>
    <w:p w14:paraId="5EEA8B8B" w14:textId="3B994608"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As of the end of 2025, PVDF</w:t>
      </w:r>
      <w:r w:rsidR="00431BA7" w:rsidRPr="00916B56">
        <w:rPr>
          <w:rFonts w:ascii="Times New Roman" w:hAnsi="Times New Roman" w:cs="Times New Roman" w:hint="eastAsia"/>
          <w:szCs w:val="21"/>
        </w:rPr>
        <w:t xml:space="preserve"> </w:t>
      </w:r>
      <w:r w:rsidR="00431BA7" w:rsidRPr="00916B56">
        <w:rPr>
          <w:rFonts w:ascii="Times New Roman" w:hAnsi="Times New Roman" w:cs="Times New Roman"/>
          <w:szCs w:val="21"/>
        </w:rPr>
        <w:t>production</w:t>
      </w:r>
      <w:r w:rsidR="003532B1" w:rsidRPr="00916B56">
        <w:rPr>
          <w:rFonts w:ascii="Times New Roman" w:hAnsi="Times New Roman" w:cs="Times New Roman" w:hint="eastAsia"/>
          <w:szCs w:val="21"/>
        </w:rPr>
        <w:t xml:space="preserve"> capacit</w:t>
      </w:r>
      <w:r w:rsidR="003532B1" w:rsidRPr="00916B56">
        <w:rPr>
          <w:rFonts w:ascii="Times New Roman" w:hAnsi="Times New Roman" w:cs="Times New Roman"/>
          <w:szCs w:val="21"/>
        </w:rPr>
        <w:t xml:space="preserve">y </w:t>
      </w:r>
      <w:r w:rsidRPr="00916B56">
        <w:rPr>
          <w:rFonts w:ascii="Times New Roman" w:hAnsi="Times New Roman" w:cs="Times New Roman"/>
          <w:szCs w:val="21"/>
        </w:rPr>
        <w:t xml:space="preserve">exceeded 30,000 tons, </w:t>
      </w:r>
      <w:r w:rsidR="00431BA7" w:rsidRPr="00916B56">
        <w:rPr>
          <w:rFonts w:ascii="Times New Roman" w:hAnsi="Times New Roman" w:cs="Times New Roman" w:hint="eastAsia"/>
          <w:szCs w:val="21"/>
        </w:rPr>
        <w:t>with meaningful scale established.</w:t>
      </w:r>
      <w:r w:rsidRPr="00916B56">
        <w:rPr>
          <w:rFonts w:ascii="Times New Roman" w:hAnsi="Times New Roman" w:cs="Times New Roman"/>
          <w:szCs w:val="21"/>
        </w:rPr>
        <w:t xml:space="preserve"> The specific operating conditions during the reporting period are as follows:</w:t>
      </w:r>
    </w:p>
    <w:p w14:paraId="66F84250" w14:textId="09F05A88"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In 2025, through technical transformation and capacity expansion, the Company effectively guaranteed the timely delivery of products. The annual sales volume of PVDF and fluoropolymers reached 41,300 tons,</w:t>
      </w:r>
      <w:r w:rsidR="003532B1" w:rsidRPr="00916B56">
        <w:rPr>
          <w:rFonts w:ascii="Times New Roman" w:hAnsi="Times New Roman" w:cs="Times New Roman"/>
          <w:szCs w:val="21"/>
        </w:rPr>
        <w:t xml:space="preserve"> </w:t>
      </w:r>
      <w:r w:rsidR="00583E76" w:rsidRPr="00916B56">
        <w:rPr>
          <w:rFonts w:ascii="Times New Roman" w:hAnsi="Times New Roman" w:cs="Times New Roman" w:hint="eastAsia"/>
          <w:szCs w:val="21"/>
        </w:rPr>
        <w:t>representing</w:t>
      </w:r>
      <w:r w:rsidRPr="00916B56">
        <w:rPr>
          <w:rFonts w:ascii="Times New Roman" w:hAnsi="Times New Roman" w:cs="Times New Roman"/>
          <w:szCs w:val="21"/>
        </w:rPr>
        <w:t xml:space="preserve"> a year-on-year increase of 99.1%, with a market share</w:t>
      </w:r>
      <w:r w:rsidR="00583E76" w:rsidRPr="00916B56">
        <w:rPr>
          <w:rFonts w:ascii="Times New Roman" w:hAnsi="Times New Roman" w:cs="Times New Roman" w:hint="eastAsia"/>
          <w:szCs w:val="21"/>
        </w:rPr>
        <w:t xml:space="preserve"> exceeding </w:t>
      </w:r>
      <w:r w:rsidRPr="00916B56">
        <w:rPr>
          <w:rFonts w:ascii="Times New Roman" w:hAnsi="Times New Roman" w:cs="Times New Roman"/>
          <w:szCs w:val="21"/>
        </w:rPr>
        <w:t>30% in the lithium battery</w:t>
      </w:r>
      <w:r w:rsidR="00583E76" w:rsidRPr="00916B56">
        <w:rPr>
          <w:rFonts w:ascii="Times New Roman" w:hAnsi="Times New Roman" w:cs="Times New Roman" w:hint="eastAsia"/>
          <w:szCs w:val="21"/>
        </w:rPr>
        <w:t>-</w:t>
      </w:r>
      <w:r w:rsidRPr="00916B56">
        <w:rPr>
          <w:rFonts w:ascii="Times New Roman" w:hAnsi="Times New Roman" w:cs="Times New Roman"/>
          <w:szCs w:val="21"/>
        </w:rPr>
        <w:t xml:space="preserve">grade PVDF market. At the same time, the Company optimized the allocation of production and marketing resources </w:t>
      </w:r>
      <w:r w:rsidR="00583E76" w:rsidRPr="00916B56">
        <w:rPr>
          <w:rFonts w:ascii="Times New Roman" w:hAnsi="Times New Roman" w:cs="Times New Roman" w:hint="eastAsia"/>
          <w:szCs w:val="21"/>
        </w:rPr>
        <w:t xml:space="preserve">as well as its </w:t>
      </w:r>
      <w:r w:rsidRPr="00916B56">
        <w:rPr>
          <w:rFonts w:ascii="Times New Roman" w:hAnsi="Times New Roman" w:cs="Times New Roman"/>
          <w:szCs w:val="21"/>
        </w:rPr>
        <w:t xml:space="preserve">customer structure, </w:t>
      </w:r>
      <w:r w:rsidR="00583E76" w:rsidRPr="00916B56">
        <w:rPr>
          <w:rFonts w:ascii="Times New Roman" w:hAnsi="Times New Roman" w:cs="Times New Roman" w:hint="eastAsia"/>
          <w:szCs w:val="21"/>
        </w:rPr>
        <w:t xml:space="preserve">ensuring stable </w:t>
      </w:r>
      <w:r w:rsidRPr="00916B56">
        <w:rPr>
          <w:rFonts w:ascii="Times New Roman" w:hAnsi="Times New Roman" w:cs="Times New Roman"/>
          <w:szCs w:val="21"/>
        </w:rPr>
        <w:t xml:space="preserve">supply to key customers, and </w:t>
      </w:r>
      <w:r w:rsidR="00583E76" w:rsidRPr="00916B56">
        <w:rPr>
          <w:rFonts w:ascii="Times New Roman" w:hAnsi="Times New Roman" w:cs="Times New Roman" w:hint="eastAsia"/>
          <w:szCs w:val="21"/>
        </w:rPr>
        <w:t>ach</w:t>
      </w:r>
      <w:r w:rsidR="00732F7D" w:rsidRPr="00916B56">
        <w:rPr>
          <w:rFonts w:ascii="Times New Roman" w:hAnsi="Times New Roman" w:cs="Times New Roman" w:hint="eastAsia"/>
          <w:szCs w:val="21"/>
        </w:rPr>
        <w:t>ieving a significant increase i</w:t>
      </w:r>
      <w:r w:rsidR="00732F7D" w:rsidRPr="00916B56">
        <w:rPr>
          <w:rFonts w:ascii="Times New Roman" w:hAnsi="Times New Roman" w:cs="Times New Roman"/>
          <w:szCs w:val="21"/>
        </w:rPr>
        <w:t xml:space="preserve">n </w:t>
      </w:r>
      <w:r w:rsidRPr="00916B56">
        <w:rPr>
          <w:rFonts w:ascii="Times New Roman" w:hAnsi="Times New Roman" w:cs="Times New Roman"/>
          <w:szCs w:val="21"/>
        </w:rPr>
        <w:t xml:space="preserve">profit scale. Through the </w:t>
      </w:r>
      <w:r w:rsidR="00583E76" w:rsidRPr="00916B56">
        <w:rPr>
          <w:rFonts w:ascii="Times New Roman" w:hAnsi="Times New Roman" w:cs="Times New Roman" w:hint="eastAsia"/>
          <w:szCs w:val="21"/>
        </w:rPr>
        <w:t xml:space="preserve">establishment </w:t>
      </w:r>
      <w:r w:rsidRPr="00916B56">
        <w:rPr>
          <w:rFonts w:ascii="Times New Roman" w:hAnsi="Times New Roman" w:cs="Times New Roman"/>
          <w:szCs w:val="21"/>
        </w:rPr>
        <w:t xml:space="preserve">of </w:t>
      </w:r>
      <w:r w:rsidR="00583E76" w:rsidRPr="00916B56">
        <w:rPr>
          <w:rFonts w:ascii="Times New Roman" w:hAnsi="Times New Roman" w:cs="Times New Roman" w:hint="eastAsia"/>
          <w:szCs w:val="21"/>
        </w:rPr>
        <w:t xml:space="preserve">an </w:t>
      </w:r>
      <w:r w:rsidRPr="00916B56">
        <w:rPr>
          <w:rFonts w:ascii="Times New Roman" w:hAnsi="Times New Roman" w:cs="Times New Roman"/>
          <w:szCs w:val="21"/>
        </w:rPr>
        <w:t xml:space="preserve">R&amp;D center, the Company </w:t>
      </w:r>
      <w:r w:rsidR="00583E76" w:rsidRPr="00916B56">
        <w:rPr>
          <w:rFonts w:ascii="Times New Roman" w:hAnsi="Times New Roman" w:cs="Times New Roman" w:hint="eastAsia"/>
          <w:szCs w:val="21"/>
        </w:rPr>
        <w:t xml:space="preserve">accelerated </w:t>
      </w:r>
      <w:r w:rsidRPr="00916B56">
        <w:rPr>
          <w:rFonts w:ascii="Times New Roman" w:hAnsi="Times New Roman" w:cs="Times New Roman"/>
          <w:szCs w:val="21"/>
        </w:rPr>
        <w:t xml:space="preserve">the development and application of new products and processes, expanded </w:t>
      </w:r>
      <w:r w:rsidR="000E2856" w:rsidRPr="00916B56">
        <w:rPr>
          <w:rFonts w:ascii="Times New Roman" w:hAnsi="Times New Roman" w:cs="Times New Roman" w:hint="eastAsia"/>
          <w:szCs w:val="21"/>
        </w:rPr>
        <w:t xml:space="preserve">the functional materials portfolio, and </w:t>
      </w:r>
      <w:r w:rsidR="000E2856" w:rsidRPr="00916B56">
        <w:rPr>
          <w:rFonts w:ascii="Times New Roman" w:hAnsi="Times New Roman" w:cs="Times New Roman"/>
          <w:szCs w:val="21"/>
        </w:rPr>
        <w:t>enhanced</w:t>
      </w:r>
      <w:r w:rsidR="000E2856" w:rsidRPr="00916B56">
        <w:rPr>
          <w:rFonts w:ascii="Times New Roman" w:hAnsi="Times New Roman" w:cs="Times New Roman" w:hint="eastAsia"/>
          <w:szCs w:val="21"/>
        </w:rPr>
        <w:t xml:space="preserve"> overall </w:t>
      </w:r>
      <w:r w:rsidR="00732F7D" w:rsidRPr="00916B56">
        <w:rPr>
          <w:rFonts w:ascii="Times New Roman" w:hAnsi="Times New Roman" w:cs="Times New Roman"/>
          <w:szCs w:val="21"/>
        </w:rPr>
        <w:t>product competitiveness.</w:t>
      </w:r>
      <w:r w:rsidRPr="00916B56">
        <w:rPr>
          <w:rFonts w:ascii="Times New Roman" w:hAnsi="Times New Roman" w:cs="Times New Roman"/>
          <w:szCs w:val="21"/>
        </w:rPr>
        <w:t xml:space="preserve"> </w:t>
      </w:r>
      <w:r w:rsidR="000E2856" w:rsidRPr="00916B56">
        <w:rPr>
          <w:rFonts w:ascii="Times New Roman" w:hAnsi="Times New Roman" w:cs="Times New Roman" w:hint="eastAsia"/>
          <w:szCs w:val="21"/>
        </w:rPr>
        <w:t>As a result,</w:t>
      </w:r>
      <w:r w:rsidR="00732F7D" w:rsidRPr="00916B56">
        <w:rPr>
          <w:rFonts w:ascii="Times New Roman" w:hAnsi="Times New Roman" w:cs="Times New Roman"/>
          <w:szCs w:val="21"/>
        </w:rPr>
        <w:t xml:space="preserve"> </w:t>
      </w:r>
      <w:r w:rsidR="00732F7D" w:rsidRPr="00916B56">
        <w:rPr>
          <w:rFonts w:ascii="Times New Roman" w:hAnsi="Times New Roman" w:cs="Times New Roman" w:hint="eastAsia"/>
          <w:szCs w:val="21"/>
        </w:rPr>
        <w:t>five new product</w:t>
      </w:r>
      <w:r w:rsidR="00732F7D" w:rsidRPr="00916B56">
        <w:rPr>
          <w:rFonts w:ascii="Times New Roman" w:hAnsi="Times New Roman" w:cs="Times New Roman"/>
          <w:szCs w:val="21"/>
        </w:rPr>
        <w:t xml:space="preserve">s </w:t>
      </w:r>
      <w:r w:rsidRPr="00916B56">
        <w:rPr>
          <w:rFonts w:ascii="Times New Roman" w:hAnsi="Times New Roman" w:cs="Times New Roman"/>
          <w:szCs w:val="21"/>
        </w:rPr>
        <w:t>achieved mass production in 2025.</w:t>
      </w:r>
    </w:p>
    <w:p w14:paraId="5D14E9B4" w14:textId="526D302B"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To meet the</w:t>
      </w:r>
      <w:r w:rsidR="000E2856" w:rsidRPr="00916B56">
        <w:rPr>
          <w:rFonts w:ascii="Times New Roman" w:hAnsi="Times New Roman" w:cs="Times New Roman" w:hint="eastAsia"/>
          <w:szCs w:val="21"/>
        </w:rPr>
        <w:t xml:space="preserve"> growing demand from</w:t>
      </w:r>
      <w:r w:rsidRPr="00916B56">
        <w:rPr>
          <w:rFonts w:ascii="Times New Roman" w:hAnsi="Times New Roman" w:cs="Times New Roman"/>
          <w:szCs w:val="21"/>
        </w:rPr>
        <w:t xml:space="preserve"> downstream customers, the Company has actively </w:t>
      </w:r>
      <w:r w:rsidR="000E2856" w:rsidRPr="00916B56">
        <w:rPr>
          <w:rFonts w:ascii="Times New Roman" w:hAnsi="Times New Roman" w:cs="Times New Roman" w:hint="eastAsia"/>
          <w:szCs w:val="21"/>
        </w:rPr>
        <w:t xml:space="preserve">advanced its </w:t>
      </w:r>
      <w:r w:rsidRPr="00916B56">
        <w:rPr>
          <w:rFonts w:ascii="Times New Roman" w:hAnsi="Times New Roman" w:cs="Times New Roman"/>
          <w:szCs w:val="21"/>
        </w:rPr>
        <w:t xml:space="preserve">capacity construction. </w:t>
      </w:r>
      <w:r w:rsidR="000E2856" w:rsidRPr="00916B56">
        <w:rPr>
          <w:rFonts w:ascii="Times New Roman" w:hAnsi="Times New Roman" w:cs="Times New Roman" w:hint="eastAsia"/>
          <w:szCs w:val="21"/>
        </w:rPr>
        <w:t xml:space="preserve">A </w:t>
      </w:r>
      <w:r w:rsidRPr="00916B56">
        <w:rPr>
          <w:rFonts w:ascii="Times New Roman" w:hAnsi="Times New Roman" w:cs="Times New Roman"/>
          <w:szCs w:val="21"/>
        </w:rPr>
        <w:t>10,000 tons PVDF</w:t>
      </w:r>
      <w:r w:rsidR="000E2856" w:rsidRPr="00916B56">
        <w:rPr>
          <w:rFonts w:ascii="Times New Roman" w:hAnsi="Times New Roman" w:cs="Times New Roman" w:hint="eastAsia"/>
          <w:szCs w:val="21"/>
        </w:rPr>
        <w:t xml:space="preserve"> annual </w:t>
      </w:r>
      <w:r w:rsidR="000E2856" w:rsidRPr="00916B56">
        <w:rPr>
          <w:rFonts w:ascii="Times New Roman" w:hAnsi="Times New Roman" w:cs="Times New Roman"/>
          <w:szCs w:val="21"/>
        </w:rPr>
        <w:t>capaci</w:t>
      </w:r>
      <w:r w:rsidR="000E2856" w:rsidRPr="00916B56">
        <w:rPr>
          <w:rFonts w:ascii="Times New Roman" w:hAnsi="Times New Roman" w:cs="Times New Roman" w:hint="eastAsia"/>
          <w:szCs w:val="21"/>
        </w:rPr>
        <w:t>ty project</w:t>
      </w:r>
      <w:r w:rsidRPr="00916B56">
        <w:rPr>
          <w:rFonts w:ascii="Times New Roman" w:hAnsi="Times New Roman" w:cs="Times New Roman"/>
          <w:szCs w:val="21"/>
        </w:rPr>
        <w:t xml:space="preserve"> is about to</w:t>
      </w:r>
      <w:r w:rsidR="000E2856" w:rsidRPr="00916B56">
        <w:rPr>
          <w:rFonts w:ascii="Times New Roman" w:hAnsi="Times New Roman" w:cs="Times New Roman" w:hint="eastAsia"/>
          <w:szCs w:val="21"/>
        </w:rPr>
        <w:t xml:space="preserve"> commence</w:t>
      </w:r>
      <w:r w:rsidRPr="00916B56">
        <w:rPr>
          <w:rFonts w:ascii="Times New Roman" w:hAnsi="Times New Roman" w:cs="Times New Roman"/>
          <w:szCs w:val="21"/>
        </w:rPr>
        <w:t xml:space="preserve"> production, </w:t>
      </w:r>
      <w:r w:rsidR="000E2856" w:rsidRPr="00916B56">
        <w:rPr>
          <w:rFonts w:ascii="Times New Roman" w:hAnsi="Times New Roman" w:cs="Times New Roman" w:hint="eastAsia"/>
          <w:szCs w:val="21"/>
        </w:rPr>
        <w:t xml:space="preserve">while a </w:t>
      </w:r>
      <w:r w:rsidRPr="00916B56">
        <w:rPr>
          <w:rFonts w:ascii="Times New Roman" w:hAnsi="Times New Roman" w:cs="Times New Roman"/>
          <w:szCs w:val="21"/>
        </w:rPr>
        <w:t xml:space="preserve">15,000 tons PVDF project is under construction. The total production capacity is expected to reach 50,000 tons in 2026, </w:t>
      </w:r>
      <w:r w:rsidR="00732F7D" w:rsidRPr="00916B56">
        <w:rPr>
          <w:rFonts w:ascii="Times New Roman" w:hAnsi="Times New Roman" w:cs="Times New Roman" w:hint="eastAsia"/>
          <w:szCs w:val="21"/>
        </w:rPr>
        <w:t>further strengthenin</w:t>
      </w:r>
      <w:r w:rsidR="00732F7D" w:rsidRPr="00916B56">
        <w:rPr>
          <w:rFonts w:ascii="Times New Roman" w:hAnsi="Times New Roman" w:cs="Times New Roman"/>
          <w:szCs w:val="21"/>
        </w:rPr>
        <w:t xml:space="preserve">g </w:t>
      </w:r>
      <w:r w:rsidR="000E2856" w:rsidRPr="00916B56">
        <w:rPr>
          <w:rFonts w:ascii="Times New Roman" w:hAnsi="Times New Roman" w:cs="Times New Roman" w:hint="eastAsia"/>
          <w:szCs w:val="21"/>
        </w:rPr>
        <w:t xml:space="preserve">its </w:t>
      </w:r>
      <w:r w:rsidRPr="00916B56">
        <w:rPr>
          <w:rFonts w:ascii="Times New Roman" w:hAnsi="Times New Roman" w:cs="Times New Roman"/>
          <w:szCs w:val="21"/>
        </w:rPr>
        <w:t>market share and scale advantage</w:t>
      </w:r>
      <w:r w:rsidR="000E2856" w:rsidRPr="00916B56">
        <w:rPr>
          <w:rFonts w:ascii="Times New Roman" w:hAnsi="Times New Roman" w:cs="Times New Roman" w:hint="eastAsia"/>
          <w:szCs w:val="21"/>
        </w:rPr>
        <w:t>s</w:t>
      </w:r>
      <w:r w:rsidRPr="00916B56">
        <w:rPr>
          <w:rFonts w:ascii="Times New Roman" w:hAnsi="Times New Roman" w:cs="Times New Roman"/>
          <w:szCs w:val="21"/>
        </w:rPr>
        <w:t xml:space="preserve"> will be further improved.</w:t>
      </w:r>
    </w:p>
    <w:p w14:paraId="065674C9" w14:textId="77777777"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(2) Ceramic Coating Materials</w:t>
      </w:r>
    </w:p>
    <w:p w14:paraId="3DCB070E" w14:textId="1721B149"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As of the end of 2025, the</w:t>
      </w:r>
      <w:r w:rsidR="000E2856" w:rsidRPr="00916B56">
        <w:rPr>
          <w:rFonts w:ascii="Times New Roman" w:hAnsi="Times New Roman" w:cs="Times New Roman" w:hint="eastAsia"/>
          <w:szCs w:val="21"/>
        </w:rPr>
        <w:t xml:space="preserve"> </w:t>
      </w:r>
      <w:r w:rsidR="000E2856" w:rsidRPr="00916B56">
        <w:rPr>
          <w:rFonts w:ascii="Times New Roman" w:hAnsi="Times New Roman" w:cs="Times New Roman"/>
          <w:szCs w:val="21"/>
        </w:rPr>
        <w:t>Company's</w:t>
      </w:r>
      <w:r w:rsidRPr="00916B56">
        <w:rPr>
          <w:rFonts w:ascii="Times New Roman" w:hAnsi="Times New Roman" w:cs="Times New Roman"/>
          <w:szCs w:val="21"/>
        </w:rPr>
        <w:t xml:space="preserve"> effective production capacity </w:t>
      </w:r>
      <w:r w:rsidR="000E2856" w:rsidRPr="00916B56">
        <w:rPr>
          <w:rFonts w:ascii="Times New Roman" w:hAnsi="Times New Roman" w:cs="Times New Roman" w:hint="eastAsia"/>
          <w:szCs w:val="21"/>
        </w:rPr>
        <w:t xml:space="preserve">for </w:t>
      </w:r>
      <w:proofErr w:type="spellStart"/>
      <w:r w:rsidRPr="00916B56">
        <w:rPr>
          <w:rFonts w:ascii="Times New Roman" w:hAnsi="Times New Roman" w:cs="Times New Roman"/>
          <w:szCs w:val="21"/>
        </w:rPr>
        <w:t>boehmite</w:t>
      </w:r>
      <w:proofErr w:type="spellEnd"/>
      <w:r w:rsidRPr="00916B56">
        <w:rPr>
          <w:rFonts w:ascii="Times New Roman" w:hAnsi="Times New Roman" w:cs="Times New Roman"/>
          <w:szCs w:val="21"/>
        </w:rPr>
        <w:t xml:space="preserve"> and alumina </w:t>
      </w:r>
      <w:r w:rsidRPr="00916B56">
        <w:rPr>
          <w:rFonts w:ascii="Times New Roman" w:hAnsi="Times New Roman" w:cs="Times New Roman"/>
          <w:strike/>
          <w:szCs w:val="21"/>
        </w:rPr>
        <w:t>has</w:t>
      </w:r>
      <w:r w:rsidRPr="00916B56">
        <w:rPr>
          <w:rFonts w:ascii="Times New Roman" w:hAnsi="Times New Roman" w:cs="Times New Roman"/>
          <w:szCs w:val="21"/>
        </w:rPr>
        <w:t xml:space="preserve"> reached 30,000 tons. During the reporting period, the shipment volume</w:t>
      </w:r>
      <w:r w:rsidR="003910D5" w:rsidRPr="00916B56">
        <w:rPr>
          <w:rFonts w:ascii="Times New Roman" w:hAnsi="Times New Roman" w:cs="Times New Roman" w:hint="eastAsia"/>
          <w:szCs w:val="21"/>
        </w:rPr>
        <w:t>s</w:t>
      </w:r>
      <w:r w:rsidRPr="00916B56">
        <w:rPr>
          <w:rFonts w:ascii="Times New Roman" w:hAnsi="Times New Roman" w:cs="Times New Roman"/>
          <w:szCs w:val="21"/>
        </w:rPr>
        <w:t xml:space="preserve"> of </w:t>
      </w:r>
      <w:proofErr w:type="spellStart"/>
      <w:r w:rsidRPr="00916B56">
        <w:rPr>
          <w:rFonts w:ascii="Times New Roman" w:hAnsi="Times New Roman" w:cs="Times New Roman"/>
          <w:szCs w:val="21"/>
        </w:rPr>
        <w:t>boehmite</w:t>
      </w:r>
      <w:proofErr w:type="spellEnd"/>
      <w:r w:rsidRPr="00916B56">
        <w:rPr>
          <w:rFonts w:ascii="Times New Roman" w:hAnsi="Times New Roman" w:cs="Times New Roman"/>
          <w:szCs w:val="21"/>
        </w:rPr>
        <w:t>, alumina and other coating materials achieved substantial growth</w:t>
      </w:r>
      <w:r w:rsidR="003910D5" w:rsidRPr="00916B56">
        <w:rPr>
          <w:rFonts w:ascii="Times New Roman" w:hAnsi="Times New Roman" w:cs="Times New Roman" w:hint="eastAsia"/>
          <w:szCs w:val="21"/>
        </w:rPr>
        <w:t xml:space="preserve">, driven by increased </w:t>
      </w:r>
      <w:r w:rsidR="00732F7D" w:rsidRPr="00916B56">
        <w:rPr>
          <w:rFonts w:ascii="Times New Roman" w:hAnsi="Times New Roman" w:cs="Times New Roman"/>
          <w:szCs w:val="21"/>
        </w:rPr>
        <w:t>i</w:t>
      </w:r>
      <w:r w:rsidRPr="00916B56">
        <w:rPr>
          <w:rFonts w:ascii="Times New Roman" w:hAnsi="Times New Roman" w:cs="Times New Roman"/>
          <w:szCs w:val="21"/>
        </w:rPr>
        <w:t>nternal coating demand, as well as the introduction and volume increase of downstream customers. With the improvement of capacity utilization rate</w:t>
      </w:r>
      <w:r w:rsidR="003910D5" w:rsidRPr="00916B56">
        <w:rPr>
          <w:rFonts w:ascii="Times New Roman" w:hAnsi="Times New Roman" w:cs="Times New Roman" w:hint="eastAsia"/>
          <w:szCs w:val="21"/>
        </w:rPr>
        <w:t>s</w:t>
      </w:r>
      <w:r w:rsidRPr="00916B56">
        <w:rPr>
          <w:rFonts w:ascii="Times New Roman" w:hAnsi="Times New Roman" w:cs="Times New Roman"/>
          <w:szCs w:val="21"/>
        </w:rPr>
        <w:t xml:space="preserve"> and</w:t>
      </w:r>
      <w:r w:rsidR="003910D5" w:rsidRPr="00916B56">
        <w:rPr>
          <w:rFonts w:ascii="Times New Roman" w:hAnsi="Times New Roman" w:cs="Times New Roman" w:hint="eastAsia"/>
          <w:szCs w:val="21"/>
        </w:rPr>
        <w:t xml:space="preserve"> the realization of economics of scale, </w:t>
      </w:r>
      <w:r w:rsidRPr="00916B56">
        <w:rPr>
          <w:rFonts w:ascii="Times New Roman" w:hAnsi="Times New Roman" w:cs="Times New Roman"/>
          <w:szCs w:val="21"/>
        </w:rPr>
        <w:t xml:space="preserve">the </w:t>
      </w:r>
      <w:r w:rsidR="003910D5" w:rsidRPr="00916B56">
        <w:rPr>
          <w:rFonts w:ascii="Times New Roman" w:hAnsi="Times New Roman" w:cs="Times New Roman"/>
          <w:szCs w:val="21"/>
        </w:rPr>
        <w:t xml:space="preserve">Company's </w:t>
      </w:r>
      <w:r w:rsidR="003910D5" w:rsidRPr="00916B56">
        <w:rPr>
          <w:rFonts w:ascii="Times New Roman" w:hAnsi="Times New Roman" w:cs="Times New Roman" w:hint="eastAsia"/>
          <w:szCs w:val="21"/>
        </w:rPr>
        <w:t xml:space="preserve">significantly reduced </w:t>
      </w:r>
      <w:r w:rsidRPr="00916B56">
        <w:rPr>
          <w:rFonts w:ascii="Times New Roman" w:hAnsi="Times New Roman" w:cs="Times New Roman"/>
          <w:szCs w:val="21"/>
        </w:rPr>
        <w:t>energy consumption cost</w:t>
      </w:r>
      <w:r w:rsidR="003910D5" w:rsidRPr="00916B56">
        <w:rPr>
          <w:rFonts w:ascii="Times New Roman" w:hAnsi="Times New Roman" w:cs="Times New Roman" w:hint="eastAsia"/>
          <w:szCs w:val="21"/>
        </w:rPr>
        <w:t>s</w:t>
      </w:r>
      <w:r w:rsidRPr="00916B56">
        <w:rPr>
          <w:rFonts w:ascii="Times New Roman" w:hAnsi="Times New Roman" w:cs="Times New Roman"/>
          <w:szCs w:val="21"/>
        </w:rPr>
        <w:t xml:space="preserve"> through waste heat recovery, chilled water </w:t>
      </w:r>
      <w:r w:rsidR="003910D5" w:rsidRPr="00916B56">
        <w:rPr>
          <w:rFonts w:ascii="Times New Roman" w:hAnsi="Times New Roman" w:cs="Times New Roman" w:hint="eastAsia"/>
          <w:szCs w:val="21"/>
        </w:rPr>
        <w:t xml:space="preserve">system upgrades </w:t>
      </w:r>
      <w:r w:rsidRPr="00916B56">
        <w:rPr>
          <w:rFonts w:ascii="Times New Roman" w:hAnsi="Times New Roman" w:cs="Times New Roman"/>
          <w:szCs w:val="21"/>
        </w:rPr>
        <w:t xml:space="preserve">and cooling water </w:t>
      </w:r>
      <w:r w:rsidR="003910D5" w:rsidRPr="00916B56">
        <w:rPr>
          <w:rFonts w:ascii="Times New Roman" w:hAnsi="Times New Roman" w:cs="Times New Roman" w:hint="eastAsia"/>
          <w:szCs w:val="21"/>
        </w:rPr>
        <w:t xml:space="preserve">optimization </w:t>
      </w:r>
      <w:r w:rsidR="00732F7D" w:rsidRPr="00916B56">
        <w:rPr>
          <w:rFonts w:ascii="Times New Roman" w:hAnsi="Times New Roman" w:cs="Times New Roman"/>
          <w:szCs w:val="21"/>
        </w:rPr>
        <w:t>and other schemes</w:t>
      </w:r>
      <w:r w:rsidR="003910D5" w:rsidRPr="00916B56">
        <w:rPr>
          <w:rFonts w:ascii="Times New Roman" w:hAnsi="Times New Roman" w:cs="Times New Roman" w:hint="eastAsia"/>
          <w:szCs w:val="21"/>
        </w:rPr>
        <w:t>.</w:t>
      </w:r>
      <w:r w:rsidR="00732F7D" w:rsidRPr="00916B56">
        <w:rPr>
          <w:rFonts w:ascii="Times New Roman" w:hAnsi="Times New Roman" w:cs="Times New Roman"/>
          <w:szCs w:val="21"/>
        </w:rPr>
        <w:t xml:space="preserve"> </w:t>
      </w:r>
      <w:r w:rsidR="003910D5" w:rsidRPr="00916B56">
        <w:rPr>
          <w:rFonts w:ascii="Times New Roman" w:hAnsi="Times New Roman" w:cs="Times New Roman" w:hint="eastAsia"/>
          <w:szCs w:val="21"/>
        </w:rPr>
        <w:t xml:space="preserve">These measures contributed </w:t>
      </w:r>
      <w:r w:rsidR="00C523DD" w:rsidRPr="00916B56">
        <w:rPr>
          <w:rFonts w:ascii="Times New Roman" w:hAnsi="Times New Roman" w:cs="Times New Roman" w:hint="eastAsia"/>
          <w:szCs w:val="21"/>
        </w:rPr>
        <w:t>to a notable increase in profit</w:t>
      </w:r>
      <w:r w:rsidR="00C523DD" w:rsidRPr="00916B56">
        <w:rPr>
          <w:rFonts w:ascii="Times New Roman" w:hAnsi="Times New Roman" w:cs="Times New Roman"/>
          <w:szCs w:val="21"/>
        </w:rPr>
        <w:t>a</w:t>
      </w:r>
      <w:r w:rsidR="00C523DD" w:rsidRPr="00916B56">
        <w:rPr>
          <w:rFonts w:ascii="Times New Roman" w:hAnsi="Times New Roman" w:cs="Times New Roman" w:hint="eastAsia"/>
          <w:szCs w:val="21"/>
        </w:rPr>
        <w:t>bili</w:t>
      </w:r>
      <w:r w:rsidR="003910D5" w:rsidRPr="00916B56">
        <w:rPr>
          <w:rFonts w:ascii="Times New Roman" w:hAnsi="Times New Roman" w:cs="Times New Roman" w:hint="eastAsia"/>
          <w:szCs w:val="21"/>
        </w:rPr>
        <w:t>ty.</w:t>
      </w:r>
      <w:r w:rsidRPr="00916B56">
        <w:rPr>
          <w:rFonts w:ascii="Times New Roman" w:hAnsi="Times New Roman" w:cs="Times New Roman"/>
          <w:szCs w:val="21"/>
        </w:rPr>
        <w:t xml:space="preserve"> and the profit scale was greatly improved.</w:t>
      </w:r>
    </w:p>
    <w:p w14:paraId="30DA7B3B" w14:textId="55720F88"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In terms of new products, the </w:t>
      </w:r>
      <w:r w:rsidR="00C71F87" w:rsidRPr="00916B56">
        <w:rPr>
          <w:rFonts w:ascii="Times New Roman" w:hAnsi="Times New Roman" w:cs="Times New Roman"/>
          <w:szCs w:val="21"/>
        </w:rPr>
        <w:t xml:space="preserve">Company </w:t>
      </w:r>
      <w:r w:rsidR="00C71F87" w:rsidRPr="00916B56">
        <w:rPr>
          <w:rFonts w:ascii="Times New Roman" w:hAnsi="Times New Roman" w:cs="Times New Roman" w:hint="eastAsia"/>
          <w:szCs w:val="21"/>
        </w:rPr>
        <w:t>successfully developed</w:t>
      </w:r>
      <w:r w:rsidRPr="00916B56">
        <w:rPr>
          <w:rFonts w:ascii="Times New Roman" w:hAnsi="Times New Roman" w:cs="Times New Roman"/>
          <w:szCs w:val="21"/>
        </w:rPr>
        <w:t xml:space="preserve"> </w:t>
      </w:r>
      <w:r w:rsidR="00C71F87" w:rsidRPr="00916B56">
        <w:rPr>
          <w:rFonts w:ascii="Times New Roman" w:hAnsi="Times New Roman" w:cs="Times New Roman" w:hint="eastAsia"/>
          <w:szCs w:val="21"/>
        </w:rPr>
        <w:t xml:space="preserve">a </w:t>
      </w:r>
      <w:r w:rsidRPr="00916B56">
        <w:rPr>
          <w:rFonts w:ascii="Times New Roman" w:hAnsi="Times New Roman" w:cs="Times New Roman"/>
          <w:szCs w:val="21"/>
        </w:rPr>
        <w:t xml:space="preserve">small particle size </w:t>
      </w:r>
      <w:proofErr w:type="spellStart"/>
      <w:r w:rsidRPr="00916B56">
        <w:rPr>
          <w:rFonts w:ascii="Times New Roman" w:hAnsi="Times New Roman" w:cs="Times New Roman"/>
          <w:szCs w:val="21"/>
        </w:rPr>
        <w:t>boehmite</w:t>
      </w:r>
      <w:proofErr w:type="spellEnd"/>
      <w:r w:rsidRPr="00916B56">
        <w:rPr>
          <w:rFonts w:ascii="Times New Roman" w:hAnsi="Times New Roman" w:cs="Times New Roman"/>
          <w:szCs w:val="21"/>
        </w:rPr>
        <w:t xml:space="preserve"> </w:t>
      </w:r>
      <w:r w:rsidR="00C71F87" w:rsidRPr="00916B56">
        <w:rPr>
          <w:rFonts w:ascii="Times New Roman" w:hAnsi="Times New Roman" w:cs="Times New Roman" w:hint="eastAsia"/>
          <w:szCs w:val="21"/>
        </w:rPr>
        <w:t>p</w:t>
      </w:r>
      <w:r w:rsidR="00732F7D" w:rsidRPr="00916B56">
        <w:rPr>
          <w:rFonts w:ascii="Times New Roman" w:hAnsi="Times New Roman" w:cs="Times New Roman" w:hint="eastAsia"/>
          <w:szCs w:val="21"/>
        </w:rPr>
        <w:t>roduct</w:t>
      </w:r>
      <w:r w:rsidR="00732F7D" w:rsidRPr="00916B56">
        <w:rPr>
          <w:rFonts w:ascii="Times New Roman" w:hAnsi="Times New Roman" w:cs="Times New Roman"/>
          <w:szCs w:val="21"/>
        </w:rPr>
        <w:t xml:space="preserve">, </w:t>
      </w:r>
      <w:r w:rsidR="00C71F87" w:rsidRPr="00916B56">
        <w:rPr>
          <w:rFonts w:ascii="Times New Roman" w:hAnsi="Times New Roman" w:cs="Times New Roman" w:hint="eastAsia"/>
          <w:szCs w:val="21"/>
        </w:rPr>
        <w:t xml:space="preserve">completed </w:t>
      </w:r>
      <w:r w:rsidRPr="00916B56">
        <w:rPr>
          <w:rFonts w:ascii="Times New Roman" w:hAnsi="Times New Roman" w:cs="Times New Roman"/>
          <w:szCs w:val="21"/>
        </w:rPr>
        <w:t xml:space="preserve">batch </w:t>
      </w:r>
      <w:r w:rsidR="00C71F87" w:rsidRPr="00916B56">
        <w:rPr>
          <w:rFonts w:ascii="Times New Roman" w:hAnsi="Times New Roman" w:cs="Times New Roman" w:hint="eastAsia"/>
          <w:szCs w:val="21"/>
        </w:rPr>
        <w:t>validation, and introduced it</w:t>
      </w:r>
      <w:r w:rsidRPr="00916B56">
        <w:rPr>
          <w:rFonts w:ascii="Times New Roman" w:hAnsi="Times New Roman" w:cs="Times New Roman"/>
          <w:szCs w:val="21"/>
        </w:rPr>
        <w:t xml:space="preserve"> into mass production. The breakthrough </w:t>
      </w:r>
      <w:r w:rsidR="00C71F87" w:rsidRPr="00916B56">
        <w:rPr>
          <w:rFonts w:ascii="Times New Roman" w:hAnsi="Times New Roman" w:cs="Times New Roman" w:hint="eastAsia"/>
          <w:szCs w:val="21"/>
        </w:rPr>
        <w:t xml:space="preserve">in </w:t>
      </w:r>
      <w:r w:rsidRPr="00916B56">
        <w:rPr>
          <w:rFonts w:ascii="Times New Roman" w:hAnsi="Times New Roman" w:cs="Times New Roman"/>
          <w:szCs w:val="21"/>
        </w:rPr>
        <w:t xml:space="preserve">ultra-fine alumina products </w:t>
      </w:r>
      <w:r w:rsidR="00C71F87" w:rsidRPr="00916B56">
        <w:rPr>
          <w:rFonts w:ascii="Times New Roman" w:hAnsi="Times New Roman" w:cs="Times New Roman" w:hint="eastAsia"/>
          <w:szCs w:val="21"/>
        </w:rPr>
        <w:t xml:space="preserve">have </w:t>
      </w:r>
      <w:r w:rsidRPr="00916B56">
        <w:rPr>
          <w:rFonts w:ascii="Times New Roman" w:hAnsi="Times New Roman" w:cs="Times New Roman"/>
          <w:szCs w:val="21"/>
        </w:rPr>
        <w:t xml:space="preserve">provided strong support for the </w:t>
      </w:r>
      <w:r w:rsidR="00C71F87" w:rsidRPr="00916B56">
        <w:rPr>
          <w:rFonts w:ascii="Times New Roman" w:hAnsi="Times New Roman" w:cs="Times New Roman" w:hint="eastAsia"/>
          <w:szCs w:val="21"/>
        </w:rPr>
        <w:t xml:space="preserve">continued </w:t>
      </w:r>
      <w:r w:rsidRPr="00916B56">
        <w:rPr>
          <w:rFonts w:ascii="Times New Roman" w:hAnsi="Times New Roman" w:cs="Times New Roman"/>
          <w:szCs w:val="21"/>
        </w:rPr>
        <w:t>development of the Company's coating processing business.</w:t>
      </w:r>
    </w:p>
    <w:p w14:paraId="48B6436D" w14:textId="7777777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 xml:space="preserve">4. </w:t>
      </w:r>
      <w:r w:rsidR="007C084F" w:rsidRPr="00916B56">
        <w:rPr>
          <w:rFonts w:ascii="Times New Roman" w:hAnsi="Times New Roman" w:cs="Times New Roman"/>
          <w:b/>
          <w:szCs w:val="21"/>
        </w:rPr>
        <w:t>Coating as a Service</w:t>
      </w:r>
      <w:r w:rsidRPr="00916B56">
        <w:rPr>
          <w:rFonts w:ascii="Times New Roman" w:hAnsi="Times New Roman" w:cs="Times New Roman"/>
          <w:b/>
          <w:szCs w:val="21"/>
        </w:rPr>
        <w:t xml:space="preserve"> (CAAS)</w:t>
      </w:r>
    </w:p>
    <w:p w14:paraId="21B14ABF" w14:textId="2C435585" w:rsidR="001D5395"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Based on the industrial development trend</w:t>
      </w:r>
      <w:r w:rsidR="00C71F87" w:rsidRPr="00916B56">
        <w:rPr>
          <w:rFonts w:ascii="Times New Roman" w:hAnsi="Times New Roman" w:cs="Times New Roman" w:hint="eastAsia"/>
          <w:szCs w:val="21"/>
        </w:rPr>
        <w:t>s</w:t>
      </w:r>
      <w:r w:rsidRPr="00916B56">
        <w:rPr>
          <w:rFonts w:ascii="Times New Roman" w:hAnsi="Times New Roman" w:cs="Times New Roman"/>
          <w:szCs w:val="21"/>
        </w:rPr>
        <w:t xml:space="preserve"> and </w:t>
      </w:r>
      <w:r w:rsidR="00C71F87" w:rsidRPr="00916B56">
        <w:rPr>
          <w:rFonts w:ascii="Times New Roman" w:hAnsi="Times New Roman" w:cs="Times New Roman" w:hint="eastAsia"/>
          <w:szCs w:val="21"/>
        </w:rPr>
        <w:t xml:space="preserve">as a </w:t>
      </w:r>
      <w:r w:rsidRPr="00916B56">
        <w:rPr>
          <w:rFonts w:ascii="Times New Roman" w:hAnsi="Times New Roman" w:cs="Times New Roman"/>
          <w:szCs w:val="21"/>
        </w:rPr>
        <w:t xml:space="preserve">natural extension of its core </w:t>
      </w:r>
      <w:r w:rsidR="00C71F87" w:rsidRPr="00916B56">
        <w:rPr>
          <w:rFonts w:ascii="Times New Roman" w:hAnsi="Times New Roman" w:cs="Times New Roman" w:hint="eastAsia"/>
          <w:szCs w:val="21"/>
        </w:rPr>
        <w:t>competencies</w:t>
      </w:r>
      <w:r w:rsidRPr="00916B56">
        <w:rPr>
          <w:rFonts w:ascii="Times New Roman" w:hAnsi="Times New Roman" w:cs="Times New Roman"/>
          <w:szCs w:val="21"/>
        </w:rPr>
        <w:t xml:space="preserve">, the Company </w:t>
      </w:r>
      <w:r w:rsidR="00C71F87" w:rsidRPr="00916B56">
        <w:rPr>
          <w:rFonts w:ascii="Times New Roman" w:hAnsi="Times New Roman" w:cs="Times New Roman" w:hint="eastAsia"/>
          <w:szCs w:val="21"/>
        </w:rPr>
        <w:t>l</w:t>
      </w:r>
      <w:r w:rsidR="00732F7D" w:rsidRPr="00916B56">
        <w:rPr>
          <w:rFonts w:ascii="Times New Roman" w:hAnsi="Times New Roman" w:cs="Times New Roman" w:hint="eastAsia"/>
          <w:szCs w:val="21"/>
        </w:rPr>
        <w:t>everages its integrated platfor</w:t>
      </w:r>
      <w:r w:rsidR="00732F7D" w:rsidRPr="00916B56">
        <w:rPr>
          <w:rFonts w:ascii="Times New Roman" w:hAnsi="Times New Roman" w:cs="Times New Roman"/>
          <w:szCs w:val="21"/>
        </w:rPr>
        <w:t xml:space="preserve">m </w:t>
      </w:r>
      <w:r w:rsidRPr="00916B56">
        <w:rPr>
          <w:rFonts w:ascii="Times New Roman" w:hAnsi="Times New Roman" w:cs="Times New Roman"/>
          <w:szCs w:val="21"/>
        </w:rPr>
        <w:t>of "materials + equipment + process" to provide electrode sheet contract manufacturing services for battery manufacturers, automobile enterprises, energy storage customers</w:t>
      </w:r>
      <w:r w:rsidR="00C71F87" w:rsidRPr="00916B56">
        <w:rPr>
          <w:rFonts w:ascii="Times New Roman" w:hAnsi="Times New Roman" w:cs="Times New Roman" w:hint="eastAsia"/>
          <w:szCs w:val="21"/>
        </w:rPr>
        <w:t xml:space="preserve">. At the same time, the Company is actively exploring </w:t>
      </w:r>
      <w:r w:rsidR="001D5395" w:rsidRPr="00916B56">
        <w:rPr>
          <w:rFonts w:ascii="Times New Roman" w:hAnsi="Times New Roman" w:cs="Times New Roman" w:hint="eastAsia"/>
          <w:szCs w:val="21"/>
        </w:rPr>
        <w:t xml:space="preserve">a </w:t>
      </w:r>
      <w:r w:rsidRPr="00916B56">
        <w:rPr>
          <w:rFonts w:ascii="Times New Roman" w:hAnsi="Times New Roman" w:cs="Times New Roman"/>
          <w:szCs w:val="21"/>
        </w:rPr>
        <w:t xml:space="preserve">"full roll" delivery model. At present, it has </w:t>
      </w:r>
      <w:r w:rsidR="001D5395" w:rsidRPr="00916B56">
        <w:rPr>
          <w:rFonts w:ascii="Times New Roman" w:hAnsi="Times New Roman" w:cs="Times New Roman" w:hint="eastAsia"/>
          <w:szCs w:val="21"/>
        </w:rPr>
        <w:t xml:space="preserve">successfully </w:t>
      </w:r>
      <w:r w:rsidRPr="00916B56">
        <w:rPr>
          <w:rFonts w:ascii="Times New Roman" w:hAnsi="Times New Roman" w:cs="Times New Roman"/>
          <w:szCs w:val="21"/>
        </w:rPr>
        <w:t xml:space="preserve">passed the certification of some downstream customers and </w:t>
      </w:r>
      <w:r w:rsidR="001D5395" w:rsidRPr="00916B56">
        <w:rPr>
          <w:rFonts w:ascii="Times New Roman" w:hAnsi="Times New Roman" w:cs="Times New Roman" w:hint="eastAsia"/>
          <w:szCs w:val="21"/>
        </w:rPr>
        <w:t xml:space="preserve">has begun providing </w:t>
      </w:r>
      <w:r w:rsidRPr="00916B56">
        <w:rPr>
          <w:rFonts w:ascii="Times New Roman" w:hAnsi="Times New Roman" w:cs="Times New Roman"/>
          <w:szCs w:val="21"/>
        </w:rPr>
        <w:t xml:space="preserve">electrode sheet contract manufacturing services. </w:t>
      </w:r>
    </w:p>
    <w:p w14:paraId="134580E5" w14:textId="3CDCF30D" w:rsidR="00E63A80" w:rsidRPr="00916B56" w:rsidRDefault="001D5395"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Looking forward</w:t>
      </w:r>
      <w:r w:rsidR="00E63A80" w:rsidRPr="00916B56">
        <w:rPr>
          <w:rFonts w:ascii="Times New Roman" w:hAnsi="Times New Roman" w:cs="Times New Roman"/>
          <w:szCs w:val="21"/>
        </w:rPr>
        <w:t xml:space="preserve">, the Company will expand production capacity, continuously improve manufacturing yield and efficiency, </w:t>
      </w:r>
      <w:r w:rsidRPr="00916B56">
        <w:rPr>
          <w:rFonts w:ascii="Times New Roman" w:hAnsi="Times New Roman" w:cs="Times New Roman" w:hint="eastAsia"/>
          <w:szCs w:val="21"/>
        </w:rPr>
        <w:t>promote</w:t>
      </w:r>
      <w:r w:rsidR="00E63A80" w:rsidRPr="00916B56">
        <w:rPr>
          <w:rFonts w:ascii="Times New Roman" w:hAnsi="Times New Roman" w:cs="Times New Roman"/>
          <w:szCs w:val="21"/>
        </w:rPr>
        <w:t xml:space="preserve"> the standardization and modular</w:t>
      </w:r>
      <w:r w:rsidRPr="00916B56">
        <w:rPr>
          <w:rFonts w:ascii="Times New Roman" w:hAnsi="Times New Roman" w:cs="Times New Roman" w:hint="eastAsia"/>
          <w:szCs w:val="21"/>
        </w:rPr>
        <w:t>ization</w:t>
      </w:r>
      <w:r w:rsidR="00E63A80" w:rsidRPr="00916B56">
        <w:rPr>
          <w:rFonts w:ascii="Times New Roman" w:hAnsi="Times New Roman" w:cs="Times New Roman"/>
          <w:szCs w:val="21"/>
        </w:rPr>
        <w:t xml:space="preserve"> of batteries </w:t>
      </w:r>
      <w:r w:rsidRPr="00916B56">
        <w:rPr>
          <w:rFonts w:ascii="Times New Roman" w:hAnsi="Times New Roman" w:cs="Times New Roman" w:hint="eastAsia"/>
          <w:szCs w:val="21"/>
        </w:rPr>
        <w:t>manufacturing. The</w:t>
      </w:r>
      <w:r w:rsidR="00760A3D" w:rsidRPr="00916B56">
        <w:rPr>
          <w:rFonts w:ascii="Times New Roman" w:hAnsi="Times New Roman" w:cs="Times New Roman" w:hint="eastAsia"/>
          <w:szCs w:val="21"/>
        </w:rPr>
        <w:t>se efforts enable the Company t</w:t>
      </w:r>
      <w:r w:rsidR="00760A3D" w:rsidRPr="00916B56">
        <w:rPr>
          <w:rFonts w:ascii="Times New Roman" w:hAnsi="Times New Roman" w:cs="Times New Roman"/>
          <w:szCs w:val="21"/>
        </w:rPr>
        <w:t xml:space="preserve">o </w:t>
      </w:r>
      <w:r w:rsidR="00E63A80" w:rsidRPr="00916B56">
        <w:rPr>
          <w:rFonts w:ascii="Times New Roman" w:hAnsi="Times New Roman" w:cs="Times New Roman"/>
          <w:szCs w:val="21"/>
        </w:rPr>
        <w:t xml:space="preserve">create greater value for </w:t>
      </w:r>
      <w:r w:rsidRPr="00916B56">
        <w:rPr>
          <w:rFonts w:ascii="Times New Roman" w:hAnsi="Times New Roman" w:cs="Times New Roman" w:hint="eastAsia"/>
          <w:szCs w:val="21"/>
        </w:rPr>
        <w:t xml:space="preserve">its </w:t>
      </w:r>
      <w:r w:rsidR="00E63A80" w:rsidRPr="00916B56">
        <w:rPr>
          <w:rFonts w:ascii="Times New Roman" w:hAnsi="Times New Roman" w:cs="Times New Roman"/>
          <w:szCs w:val="21"/>
        </w:rPr>
        <w:t>customers.</w:t>
      </w:r>
    </w:p>
    <w:p w14:paraId="6C6E91ED" w14:textId="7777777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(II) New Energy A</w:t>
      </w:r>
      <w:r w:rsidR="00896D0C" w:rsidRPr="00916B56">
        <w:rPr>
          <w:rFonts w:ascii="Times New Roman" w:hAnsi="Times New Roman" w:cs="Times New Roman"/>
          <w:b/>
          <w:szCs w:val="21"/>
        </w:rPr>
        <w:t>utomation</w:t>
      </w:r>
      <w:r w:rsidRPr="00916B56">
        <w:rPr>
          <w:rFonts w:ascii="Times New Roman" w:hAnsi="Times New Roman" w:cs="Times New Roman"/>
          <w:b/>
          <w:szCs w:val="21"/>
        </w:rPr>
        <w:t xml:space="preserve"> Equipment and Services</w:t>
      </w:r>
    </w:p>
    <w:p w14:paraId="2A6C8E90" w14:textId="0A8C1199" w:rsidR="006635C7" w:rsidRPr="00984E49" w:rsidRDefault="00E63A80" w:rsidP="00984E49">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The Company has</w:t>
      </w:r>
      <w:r w:rsidR="001D5395" w:rsidRPr="00916B56">
        <w:rPr>
          <w:rFonts w:ascii="Times New Roman" w:hAnsi="Times New Roman" w:cs="Times New Roman" w:hint="eastAsia"/>
          <w:szCs w:val="21"/>
        </w:rPr>
        <w:t xml:space="preserve"> accumulated extensive</w:t>
      </w:r>
      <w:r w:rsidRPr="00916B56">
        <w:rPr>
          <w:rFonts w:ascii="Times New Roman" w:hAnsi="Times New Roman" w:cs="Times New Roman"/>
          <w:szCs w:val="21"/>
        </w:rPr>
        <w:t xml:space="preserve"> advanced </w:t>
      </w:r>
      <w:r w:rsidR="001D5395" w:rsidRPr="00916B56">
        <w:rPr>
          <w:rFonts w:ascii="Times New Roman" w:hAnsi="Times New Roman" w:cs="Times New Roman" w:hint="eastAsia"/>
          <w:szCs w:val="21"/>
        </w:rPr>
        <w:t>manufacturing</w:t>
      </w:r>
      <w:r w:rsidRPr="00916B56">
        <w:rPr>
          <w:rFonts w:ascii="Times New Roman" w:hAnsi="Times New Roman" w:cs="Times New Roman"/>
          <w:szCs w:val="21"/>
        </w:rPr>
        <w:t xml:space="preserve"> experience and </w:t>
      </w:r>
      <w:r w:rsidR="001D5395" w:rsidRPr="00916B56">
        <w:rPr>
          <w:rFonts w:ascii="Times New Roman" w:hAnsi="Times New Roman" w:cs="Times New Roman" w:hint="eastAsia"/>
          <w:szCs w:val="21"/>
        </w:rPr>
        <w:t xml:space="preserve">mature </w:t>
      </w:r>
      <w:r w:rsidRPr="00916B56">
        <w:rPr>
          <w:rFonts w:ascii="Times New Roman" w:hAnsi="Times New Roman" w:cs="Times New Roman"/>
          <w:szCs w:val="21"/>
        </w:rPr>
        <w:t xml:space="preserve">process </w:t>
      </w:r>
      <w:r w:rsidR="00760A3D" w:rsidRPr="00916B56">
        <w:rPr>
          <w:rFonts w:ascii="Times New Roman" w:hAnsi="Times New Roman" w:cs="Times New Roman" w:hint="eastAsia"/>
          <w:szCs w:val="21"/>
        </w:rPr>
        <w:t>capabilitie</w:t>
      </w:r>
      <w:r w:rsidR="00760A3D" w:rsidRPr="00916B56">
        <w:rPr>
          <w:rFonts w:ascii="Times New Roman" w:hAnsi="Times New Roman" w:cs="Times New Roman"/>
          <w:szCs w:val="21"/>
        </w:rPr>
        <w:t>s.</w:t>
      </w:r>
      <w:r w:rsidRPr="00916B56">
        <w:rPr>
          <w:rFonts w:ascii="Times New Roman" w:hAnsi="Times New Roman" w:cs="Times New Roman"/>
          <w:szCs w:val="21"/>
        </w:rPr>
        <w:t xml:space="preserve"> Its product </w:t>
      </w:r>
      <w:r w:rsidR="006635C7" w:rsidRPr="00916B56">
        <w:rPr>
          <w:rFonts w:ascii="Times New Roman" w:hAnsi="Times New Roman" w:cs="Times New Roman"/>
          <w:szCs w:val="21"/>
        </w:rPr>
        <w:t>portfolio</w:t>
      </w:r>
      <w:r w:rsidR="006635C7" w:rsidRPr="00916B56">
        <w:rPr>
          <w:rFonts w:ascii="Times New Roman" w:hAnsi="Times New Roman" w:cs="Times New Roman" w:hint="eastAsia"/>
          <w:szCs w:val="21"/>
        </w:rPr>
        <w:t xml:space="preserve"> now covers </w:t>
      </w:r>
      <w:r w:rsidRPr="00916B56">
        <w:rPr>
          <w:rFonts w:ascii="Times New Roman" w:hAnsi="Times New Roman" w:cs="Times New Roman"/>
          <w:szCs w:val="21"/>
        </w:rPr>
        <w:t>key processes</w:t>
      </w:r>
      <w:r w:rsidR="006635C7" w:rsidRPr="00916B56">
        <w:rPr>
          <w:rFonts w:ascii="Times New Roman" w:hAnsi="Times New Roman" w:cs="Times New Roman" w:hint="eastAsia"/>
          <w:szCs w:val="21"/>
        </w:rPr>
        <w:t xml:space="preserve"> across the front-end,</w:t>
      </w:r>
      <w:r w:rsidR="00760A3D" w:rsidRPr="00916B56">
        <w:rPr>
          <w:rFonts w:ascii="Times New Roman" w:hAnsi="Times New Roman" w:cs="Times New Roman"/>
          <w:szCs w:val="21"/>
        </w:rPr>
        <w:t xml:space="preserve"> </w:t>
      </w:r>
      <w:r w:rsidR="006635C7" w:rsidRPr="00916B56">
        <w:rPr>
          <w:rFonts w:ascii="Times New Roman" w:hAnsi="Times New Roman" w:cs="Times New Roman" w:hint="eastAsia"/>
          <w:szCs w:val="21"/>
        </w:rPr>
        <w:t xml:space="preserve">mid-section, and back-end </w:t>
      </w:r>
      <w:r w:rsidRPr="00916B56">
        <w:rPr>
          <w:rFonts w:ascii="Times New Roman" w:hAnsi="Times New Roman" w:cs="Times New Roman"/>
          <w:szCs w:val="21"/>
        </w:rPr>
        <w:t xml:space="preserve">of lithium battery production, forming a comprehensive product </w:t>
      </w:r>
      <w:r w:rsidR="006635C7" w:rsidRPr="00916B56">
        <w:rPr>
          <w:rFonts w:ascii="Times New Roman" w:hAnsi="Times New Roman" w:cs="Times New Roman" w:hint="eastAsia"/>
          <w:szCs w:val="21"/>
        </w:rPr>
        <w:t xml:space="preserve">and </w:t>
      </w:r>
      <w:r w:rsidRPr="00916B56">
        <w:rPr>
          <w:rFonts w:ascii="Times New Roman" w:hAnsi="Times New Roman" w:cs="Times New Roman"/>
          <w:szCs w:val="21"/>
        </w:rPr>
        <w:t xml:space="preserve">service </w:t>
      </w:r>
      <w:r w:rsidR="006635C7" w:rsidRPr="00916B56">
        <w:rPr>
          <w:rFonts w:ascii="Times New Roman" w:hAnsi="Times New Roman" w:cs="Times New Roman" w:hint="eastAsia"/>
          <w:szCs w:val="21"/>
        </w:rPr>
        <w:t>system</w:t>
      </w:r>
      <w:r w:rsidRPr="00916B56">
        <w:rPr>
          <w:rFonts w:ascii="Times New Roman" w:hAnsi="Times New Roman" w:cs="Times New Roman"/>
          <w:szCs w:val="21"/>
        </w:rPr>
        <w:t xml:space="preserve"> for key cell </w:t>
      </w:r>
      <w:r w:rsidR="006635C7" w:rsidRPr="00916B56">
        <w:rPr>
          <w:rFonts w:ascii="Times New Roman" w:hAnsi="Times New Roman" w:cs="Times New Roman" w:hint="eastAsia"/>
          <w:szCs w:val="21"/>
        </w:rPr>
        <w:t xml:space="preserve">manufacturing </w:t>
      </w:r>
      <w:r w:rsidRPr="00916B56">
        <w:rPr>
          <w:rFonts w:ascii="Times New Roman" w:hAnsi="Times New Roman" w:cs="Times New Roman"/>
          <w:szCs w:val="21"/>
        </w:rPr>
        <w:t>processes</w:t>
      </w:r>
      <w:r w:rsidR="006635C7" w:rsidRPr="00916B56">
        <w:rPr>
          <w:rFonts w:ascii="Times New Roman" w:hAnsi="Times New Roman" w:cs="Times New Roman" w:hint="eastAsia"/>
          <w:szCs w:val="21"/>
        </w:rPr>
        <w:t>,</w:t>
      </w:r>
      <w:r w:rsidRPr="00916B56">
        <w:rPr>
          <w:rFonts w:ascii="Times New Roman" w:hAnsi="Times New Roman" w:cs="Times New Roman"/>
          <w:szCs w:val="21"/>
        </w:rPr>
        <w:t xml:space="preserve"> including</w:t>
      </w:r>
      <w:r w:rsidR="00984E49">
        <w:rPr>
          <w:rFonts w:ascii="Times New Roman" w:hAnsi="Times New Roman" w:cs="Times New Roman"/>
          <w:szCs w:val="21"/>
        </w:rPr>
        <w:t xml:space="preserve"> </w:t>
      </w:r>
      <w:r w:rsidR="006635C7" w:rsidRPr="00984E49">
        <w:rPr>
          <w:rFonts w:ascii="Times New Roman" w:hAnsi="Times New Roman" w:cs="Times New Roman"/>
          <w:szCs w:val="21"/>
        </w:rPr>
        <w:t>C</w:t>
      </w:r>
      <w:r w:rsidRPr="00984E49">
        <w:rPr>
          <w:rFonts w:ascii="Times New Roman" w:hAnsi="Times New Roman" w:cs="Times New Roman"/>
          <w:szCs w:val="21"/>
        </w:rPr>
        <w:t>oating</w:t>
      </w:r>
      <w:r w:rsidR="00984E49">
        <w:rPr>
          <w:rFonts w:ascii="Times New Roman" w:hAnsi="Times New Roman" w:cs="Times New Roman" w:hint="eastAsia"/>
          <w:szCs w:val="21"/>
        </w:rPr>
        <w:t>,</w:t>
      </w:r>
      <w:r w:rsidR="00984E49">
        <w:rPr>
          <w:rFonts w:ascii="Times New Roman" w:hAnsi="Times New Roman" w:cs="Times New Roman"/>
          <w:szCs w:val="21"/>
        </w:rPr>
        <w:t xml:space="preserve"> </w:t>
      </w:r>
      <w:r w:rsidR="006635C7" w:rsidRPr="00984E49">
        <w:rPr>
          <w:rFonts w:ascii="Times New Roman" w:hAnsi="Times New Roman" w:cs="Times New Roman"/>
          <w:szCs w:val="21"/>
        </w:rPr>
        <w:t>S</w:t>
      </w:r>
      <w:r w:rsidRPr="00984E49">
        <w:rPr>
          <w:rFonts w:ascii="Times New Roman" w:hAnsi="Times New Roman" w:cs="Times New Roman"/>
          <w:szCs w:val="21"/>
        </w:rPr>
        <w:t>litting</w:t>
      </w:r>
      <w:r w:rsidR="00984E49">
        <w:rPr>
          <w:rFonts w:ascii="Times New Roman" w:hAnsi="Times New Roman" w:cs="Times New Roman" w:hint="eastAsia"/>
          <w:szCs w:val="21"/>
        </w:rPr>
        <w:t>,</w:t>
      </w:r>
      <w:r w:rsidR="00984E49">
        <w:rPr>
          <w:rFonts w:ascii="Times New Roman" w:hAnsi="Times New Roman" w:cs="Times New Roman"/>
          <w:szCs w:val="21"/>
        </w:rPr>
        <w:t xml:space="preserve"> </w:t>
      </w:r>
      <w:r w:rsidR="00224208" w:rsidRPr="00984E49">
        <w:rPr>
          <w:rFonts w:ascii="Times New Roman" w:hAnsi="Times New Roman" w:cs="Times New Roman"/>
          <w:szCs w:val="21"/>
        </w:rPr>
        <w:t>Winding/L</w:t>
      </w:r>
      <w:r w:rsidR="00984E49">
        <w:rPr>
          <w:rFonts w:ascii="Times New Roman" w:hAnsi="Times New Roman" w:cs="Times New Roman"/>
          <w:szCs w:val="21"/>
        </w:rPr>
        <w:t>amination</w:t>
      </w:r>
      <w:r w:rsidR="00984E49">
        <w:rPr>
          <w:rFonts w:ascii="Times New Roman" w:hAnsi="Times New Roman" w:cs="Times New Roman" w:hint="eastAsia"/>
          <w:szCs w:val="21"/>
        </w:rPr>
        <w:t>,</w:t>
      </w:r>
      <w:r w:rsidR="00984E49">
        <w:rPr>
          <w:rFonts w:ascii="Times New Roman" w:hAnsi="Times New Roman" w:cs="Times New Roman"/>
          <w:szCs w:val="21"/>
        </w:rPr>
        <w:t xml:space="preserve"> </w:t>
      </w:r>
      <w:r w:rsidR="00224208" w:rsidRPr="00984E49">
        <w:rPr>
          <w:rFonts w:ascii="Times New Roman" w:hAnsi="Times New Roman" w:cs="Times New Roman"/>
          <w:szCs w:val="21"/>
        </w:rPr>
        <w:t>E</w:t>
      </w:r>
      <w:r w:rsidRPr="00984E49">
        <w:rPr>
          <w:rFonts w:ascii="Times New Roman" w:hAnsi="Times New Roman" w:cs="Times New Roman"/>
          <w:szCs w:val="21"/>
        </w:rPr>
        <w:t>l</w:t>
      </w:r>
      <w:r w:rsidR="00224208" w:rsidRPr="00984E49">
        <w:rPr>
          <w:rFonts w:ascii="Times New Roman" w:hAnsi="Times New Roman" w:cs="Times New Roman"/>
          <w:szCs w:val="21"/>
        </w:rPr>
        <w:t>ectrolyte I</w:t>
      </w:r>
      <w:r w:rsidRPr="00984E49">
        <w:rPr>
          <w:rFonts w:ascii="Times New Roman" w:hAnsi="Times New Roman" w:cs="Times New Roman"/>
          <w:szCs w:val="21"/>
        </w:rPr>
        <w:t>njection</w:t>
      </w:r>
      <w:r w:rsidR="00984E49">
        <w:rPr>
          <w:rFonts w:ascii="Times New Roman" w:hAnsi="Times New Roman" w:cs="Times New Roman" w:hint="eastAsia"/>
          <w:szCs w:val="21"/>
        </w:rPr>
        <w:t>,</w:t>
      </w:r>
      <w:r w:rsidR="00984E49">
        <w:rPr>
          <w:rFonts w:ascii="Times New Roman" w:hAnsi="Times New Roman" w:cs="Times New Roman"/>
          <w:szCs w:val="21"/>
        </w:rPr>
        <w:t xml:space="preserve"> </w:t>
      </w:r>
      <w:r w:rsidR="00224208" w:rsidRPr="00984E49">
        <w:rPr>
          <w:rFonts w:ascii="Times New Roman" w:hAnsi="Times New Roman" w:cs="Times New Roman"/>
          <w:szCs w:val="21"/>
        </w:rPr>
        <w:t>Formation and G</w:t>
      </w:r>
      <w:r w:rsidRPr="00984E49">
        <w:rPr>
          <w:rFonts w:ascii="Times New Roman" w:hAnsi="Times New Roman" w:cs="Times New Roman"/>
          <w:szCs w:val="21"/>
        </w:rPr>
        <w:t>rading</w:t>
      </w:r>
      <w:r w:rsidR="00984E49">
        <w:rPr>
          <w:rFonts w:ascii="Times New Roman" w:hAnsi="Times New Roman" w:cs="Times New Roman" w:hint="eastAsia"/>
          <w:szCs w:val="21"/>
        </w:rPr>
        <w:t>,</w:t>
      </w:r>
      <w:r w:rsidR="00984E49">
        <w:rPr>
          <w:rFonts w:ascii="Times New Roman" w:hAnsi="Times New Roman" w:cs="Times New Roman"/>
          <w:szCs w:val="21"/>
        </w:rPr>
        <w:t xml:space="preserve"> </w:t>
      </w:r>
      <w:r w:rsidR="00224208" w:rsidRPr="00984E49">
        <w:rPr>
          <w:rFonts w:ascii="Times New Roman" w:hAnsi="Times New Roman" w:cs="Times New Roman"/>
          <w:szCs w:val="21"/>
        </w:rPr>
        <w:t>Helium I</w:t>
      </w:r>
      <w:r w:rsidRPr="00984E49">
        <w:rPr>
          <w:rFonts w:ascii="Times New Roman" w:hAnsi="Times New Roman" w:cs="Times New Roman"/>
          <w:szCs w:val="21"/>
        </w:rPr>
        <w:t xml:space="preserve">nspection. </w:t>
      </w:r>
    </w:p>
    <w:p w14:paraId="68E12EE6" w14:textId="3CFD5236" w:rsidR="00E63A80" w:rsidRPr="00916B56" w:rsidRDefault="00E63A80" w:rsidP="00165863">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During the</w:t>
      </w:r>
      <w:r w:rsidR="00896D0C" w:rsidRPr="00916B56">
        <w:rPr>
          <w:rFonts w:ascii="Times New Roman" w:hAnsi="Times New Roman" w:cs="Times New Roman"/>
          <w:szCs w:val="21"/>
        </w:rPr>
        <w:t xml:space="preserve"> reporting period, the automation</w:t>
      </w:r>
      <w:r w:rsidRPr="00916B56">
        <w:rPr>
          <w:rFonts w:ascii="Times New Roman" w:hAnsi="Times New Roman" w:cs="Times New Roman"/>
          <w:szCs w:val="21"/>
        </w:rPr>
        <w:t xml:space="preserve"> equipment and services business achieved core</w:t>
      </w:r>
      <w:r w:rsidR="006635C7" w:rsidRPr="00916B56">
        <w:rPr>
          <w:rFonts w:ascii="Times New Roman" w:hAnsi="Times New Roman" w:cs="Times New Roman" w:hint="eastAsia"/>
          <w:szCs w:val="21"/>
        </w:rPr>
        <w:t xml:space="preserve"> </w:t>
      </w:r>
      <w:r w:rsidRPr="00916B56">
        <w:rPr>
          <w:rFonts w:ascii="Times New Roman" w:hAnsi="Times New Roman" w:cs="Times New Roman"/>
          <w:szCs w:val="21"/>
        </w:rPr>
        <w:t>business revenue of 4.569 billion yuan (before internal</w:t>
      </w:r>
      <w:r w:rsidR="006635C7" w:rsidRPr="00916B56">
        <w:rPr>
          <w:rFonts w:ascii="Times New Roman" w:hAnsi="Times New Roman" w:cs="Times New Roman" w:hint="eastAsia"/>
          <w:szCs w:val="21"/>
        </w:rPr>
        <w:t xml:space="preserve"> eliminations</w:t>
      </w:r>
      <w:r w:rsidRPr="00916B56">
        <w:rPr>
          <w:rFonts w:ascii="Times New Roman" w:hAnsi="Times New Roman" w:cs="Times New Roman"/>
          <w:szCs w:val="21"/>
        </w:rPr>
        <w:t xml:space="preserve">), </w:t>
      </w:r>
      <w:r w:rsidR="006635C7" w:rsidRPr="00916B56">
        <w:rPr>
          <w:rFonts w:ascii="Times New Roman" w:hAnsi="Times New Roman" w:cs="Times New Roman" w:hint="eastAsia"/>
          <w:szCs w:val="21"/>
        </w:rPr>
        <w:t xml:space="preserve">representing </w:t>
      </w:r>
      <w:r w:rsidRPr="00916B56">
        <w:rPr>
          <w:rFonts w:ascii="Times New Roman" w:hAnsi="Times New Roman" w:cs="Times New Roman"/>
          <w:szCs w:val="21"/>
        </w:rPr>
        <w:t>a year-on-year increase of 21.2%.</w:t>
      </w:r>
    </w:p>
    <w:p w14:paraId="28E87340" w14:textId="60E567B9" w:rsidR="00E57297"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In 2025, driven by downstream battery manufacturers increasing capacity expansion to </w:t>
      </w:r>
      <w:r w:rsidR="006635C7" w:rsidRPr="00916B56">
        <w:rPr>
          <w:rFonts w:ascii="Times New Roman" w:hAnsi="Times New Roman" w:cs="Times New Roman" w:hint="eastAsia"/>
          <w:szCs w:val="21"/>
        </w:rPr>
        <w:t xml:space="preserve">meet </w:t>
      </w:r>
      <w:r w:rsidR="006635C7" w:rsidRPr="00916B56">
        <w:rPr>
          <w:rFonts w:ascii="Times New Roman" w:hAnsi="Times New Roman" w:cs="Times New Roman"/>
          <w:szCs w:val="21"/>
        </w:rPr>
        <w:t>growing</w:t>
      </w:r>
      <w:r w:rsidR="006635C7" w:rsidRPr="00916B56">
        <w:rPr>
          <w:rFonts w:ascii="Times New Roman" w:hAnsi="Times New Roman" w:cs="Times New Roman" w:hint="eastAsia"/>
          <w:szCs w:val="21"/>
        </w:rPr>
        <w:t xml:space="preserve"> </w:t>
      </w:r>
      <w:r w:rsidRPr="00916B56">
        <w:rPr>
          <w:rFonts w:ascii="Times New Roman" w:hAnsi="Times New Roman" w:cs="Times New Roman"/>
          <w:szCs w:val="21"/>
        </w:rPr>
        <w:t xml:space="preserve">market demand, the </w:t>
      </w:r>
      <w:r w:rsidR="00E57297" w:rsidRPr="00916B56">
        <w:rPr>
          <w:rFonts w:ascii="Times New Roman" w:hAnsi="Times New Roman" w:cs="Times New Roman" w:hint="eastAsia"/>
          <w:szCs w:val="21"/>
        </w:rPr>
        <w:t xml:space="preserve">Company secured </w:t>
      </w:r>
      <w:r w:rsidRPr="00916B56">
        <w:rPr>
          <w:rFonts w:ascii="Times New Roman" w:hAnsi="Times New Roman" w:cs="Times New Roman"/>
          <w:szCs w:val="21"/>
        </w:rPr>
        <w:t>new orders</w:t>
      </w:r>
      <w:r w:rsidR="00E57297" w:rsidRPr="00916B56">
        <w:rPr>
          <w:rFonts w:ascii="Times New Roman" w:hAnsi="Times New Roman" w:cs="Times New Roman" w:hint="eastAsia"/>
          <w:szCs w:val="21"/>
        </w:rPr>
        <w:t xml:space="preserve"> totaling RMB</w:t>
      </w:r>
      <w:r w:rsidRPr="00916B56">
        <w:rPr>
          <w:rFonts w:ascii="Times New Roman" w:hAnsi="Times New Roman" w:cs="Times New Roman"/>
          <w:szCs w:val="21"/>
        </w:rPr>
        <w:t xml:space="preserve"> </w:t>
      </w:r>
      <w:r w:rsidR="00E57297" w:rsidRPr="00916B56">
        <w:rPr>
          <w:rFonts w:ascii="Times New Roman" w:hAnsi="Times New Roman" w:cs="Times New Roman"/>
          <w:szCs w:val="21"/>
        </w:rPr>
        <w:t xml:space="preserve">5.427 billion </w:t>
      </w:r>
      <w:r w:rsidR="00E57297" w:rsidRPr="00916B56">
        <w:rPr>
          <w:rFonts w:ascii="Times New Roman" w:hAnsi="Times New Roman" w:cs="Times New Roman" w:hint="eastAsia"/>
          <w:szCs w:val="21"/>
        </w:rPr>
        <w:t xml:space="preserve">(tax inclusive), representing </w:t>
      </w:r>
      <w:r w:rsidRPr="00916B56">
        <w:rPr>
          <w:rFonts w:ascii="Times New Roman" w:hAnsi="Times New Roman" w:cs="Times New Roman"/>
          <w:szCs w:val="21"/>
        </w:rPr>
        <w:t xml:space="preserve">a year-on-year increase of 130.9%. The Company established a special transformation service department, and the order volume of value-added transformation business grew steadily, which will become an important </w:t>
      </w:r>
      <w:r w:rsidR="00E57297" w:rsidRPr="00916B56">
        <w:rPr>
          <w:rFonts w:ascii="Times New Roman" w:hAnsi="Times New Roman" w:cs="Times New Roman" w:hint="eastAsia"/>
          <w:szCs w:val="21"/>
        </w:rPr>
        <w:t xml:space="preserve">growth driver for </w:t>
      </w:r>
      <w:r w:rsidRPr="00916B56">
        <w:rPr>
          <w:rFonts w:ascii="Times New Roman" w:hAnsi="Times New Roman" w:cs="Times New Roman"/>
          <w:szCs w:val="21"/>
        </w:rPr>
        <w:t xml:space="preserve">the equipment business in the future. </w:t>
      </w:r>
    </w:p>
    <w:p w14:paraId="21D12CDC" w14:textId="299E95CF" w:rsidR="00E63A80" w:rsidRPr="00916B56" w:rsidRDefault="00E57297"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 xml:space="preserve">Building on its prior </w:t>
      </w:r>
      <w:r w:rsidR="00E63A80" w:rsidRPr="00916B56">
        <w:rPr>
          <w:rFonts w:ascii="Times New Roman" w:hAnsi="Times New Roman" w:cs="Times New Roman"/>
          <w:szCs w:val="21"/>
        </w:rPr>
        <w:t xml:space="preserve">successfully delivering </w:t>
      </w:r>
      <w:r w:rsidRPr="00916B56">
        <w:rPr>
          <w:rFonts w:ascii="Times New Roman" w:hAnsi="Times New Roman" w:cs="Times New Roman" w:hint="eastAsia"/>
          <w:szCs w:val="21"/>
        </w:rPr>
        <w:t xml:space="preserve">of </w:t>
      </w:r>
      <w:r w:rsidR="00E63A80" w:rsidRPr="00916B56">
        <w:rPr>
          <w:rFonts w:ascii="Times New Roman" w:hAnsi="Times New Roman" w:cs="Times New Roman"/>
          <w:szCs w:val="21"/>
        </w:rPr>
        <w:t xml:space="preserve">products and services to overseas customers in </w:t>
      </w:r>
      <w:r w:rsidRPr="00916B56">
        <w:rPr>
          <w:rFonts w:ascii="Times New Roman" w:hAnsi="Times New Roman" w:cs="Times New Roman" w:hint="eastAsia"/>
          <w:szCs w:val="21"/>
        </w:rPr>
        <w:t xml:space="preserve">regions such as </w:t>
      </w:r>
      <w:r w:rsidR="00E63A80" w:rsidRPr="00916B56">
        <w:rPr>
          <w:rFonts w:ascii="Times New Roman" w:hAnsi="Times New Roman" w:cs="Times New Roman"/>
          <w:szCs w:val="21"/>
        </w:rPr>
        <w:t>Europe</w:t>
      </w:r>
      <w:r w:rsidR="00224208" w:rsidRPr="00916B56">
        <w:rPr>
          <w:rFonts w:ascii="Times New Roman" w:hAnsi="Times New Roman" w:cs="Times New Roman"/>
          <w:szCs w:val="21"/>
        </w:rPr>
        <w:t xml:space="preserve">, </w:t>
      </w:r>
      <w:r w:rsidR="00E63A80" w:rsidRPr="00916B56">
        <w:rPr>
          <w:rFonts w:ascii="Times New Roman" w:hAnsi="Times New Roman" w:cs="Times New Roman"/>
          <w:szCs w:val="21"/>
        </w:rPr>
        <w:t xml:space="preserve">the Company further explored </w:t>
      </w:r>
      <w:r w:rsidRPr="00916B56">
        <w:rPr>
          <w:rFonts w:ascii="Times New Roman" w:hAnsi="Times New Roman" w:cs="Times New Roman" w:hint="eastAsia"/>
          <w:szCs w:val="21"/>
        </w:rPr>
        <w:t xml:space="preserve">into </w:t>
      </w:r>
      <w:r w:rsidR="00E63A80" w:rsidRPr="00916B56">
        <w:rPr>
          <w:rFonts w:ascii="Times New Roman" w:hAnsi="Times New Roman" w:cs="Times New Roman"/>
          <w:szCs w:val="21"/>
        </w:rPr>
        <w:t xml:space="preserve">high-growth </w:t>
      </w:r>
      <w:r w:rsidR="002649A4" w:rsidRPr="00916B56">
        <w:rPr>
          <w:rFonts w:ascii="Times New Roman" w:hAnsi="Times New Roman" w:cs="Times New Roman" w:hint="eastAsia"/>
          <w:szCs w:val="21"/>
        </w:rPr>
        <w:t xml:space="preserve">international </w:t>
      </w:r>
      <w:r w:rsidR="00E63A80" w:rsidRPr="00916B56">
        <w:rPr>
          <w:rFonts w:ascii="Times New Roman" w:hAnsi="Times New Roman" w:cs="Times New Roman"/>
          <w:szCs w:val="21"/>
        </w:rPr>
        <w:t>new energy</w:t>
      </w:r>
      <w:r w:rsidR="002649A4" w:rsidRPr="00916B56">
        <w:rPr>
          <w:rFonts w:ascii="Times New Roman" w:hAnsi="Times New Roman" w:cs="Times New Roman" w:hint="eastAsia"/>
          <w:szCs w:val="21"/>
        </w:rPr>
        <w:t xml:space="preserve"> ma</w:t>
      </w:r>
      <w:r w:rsidR="00224208" w:rsidRPr="00916B56">
        <w:rPr>
          <w:rFonts w:ascii="Times New Roman" w:hAnsi="Times New Roman" w:cs="Times New Roman" w:hint="eastAsia"/>
          <w:szCs w:val="21"/>
        </w:rPr>
        <w:t>r</w:t>
      </w:r>
      <w:r w:rsidR="002649A4" w:rsidRPr="00916B56">
        <w:rPr>
          <w:rFonts w:ascii="Times New Roman" w:hAnsi="Times New Roman" w:cs="Times New Roman" w:hint="eastAsia"/>
          <w:szCs w:val="21"/>
        </w:rPr>
        <w:t>kets</w:t>
      </w:r>
      <w:r w:rsidR="00E63A80" w:rsidRPr="00916B56">
        <w:rPr>
          <w:rFonts w:ascii="Times New Roman" w:hAnsi="Times New Roman" w:cs="Times New Roman"/>
          <w:szCs w:val="21"/>
        </w:rPr>
        <w:t xml:space="preserve">, </w:t>
      </w:r>
      <w:r w:rsidR="00224208" w:rsidRPr="00916B56">
        <w:rPr>
          <w:rFonts w:ascii="Times New Roman" w:hAnsi="Times New Roman" w:cs="Times New Roman" w:hint="eastAsia"/>
          <w:szCs w:val="21"/>
        </w:rPr>
        <w:t>continuously improving it</w:t>
      </w:r>
      <w:r w:rsidR="00224208" w:rsidRPr="00916B56">
        <w:rPr>
          <w:rFonts w:ascii="Times New Roman" w:hAnsi="Times New Roman" w:cs="Times New Roman"/>
          <w:szCs w:val="21"/>
        </w:rPr>
        <w:t xml:space="preserve">s </w:t>
      </w:r>
      <w:r w:rsidR="00E63A80" w:rsidRPr="00916B56">
        <w:rPr>
          <w:rFonts w:ascii="Times New Roman" w:hAnsi="Times New Roman" w:cs="Times New Roman"/>
          <w:szCs w:val="21"/>
        </w:rPr>
        <w:t>overseas service system, enhanc</w:t>
      </w:r>
      <w:r w:rsidR="002649A4" w:rsidRPr="00916B56">
        <w:rPr>
          <w:rFonts w:ascii="Times New Roman" w:hAnsi="Times New Roman" w:cs="Times New Roman" w:hint="eastAsia"/>
          <w:szCs w:val="21"/>
        </w:rPr>
        <w:t>ing</w:t>
      </w:r>
      <w:r w:rsidR="00224208" w:rsidRPr="00916B56">
        <w:rPr>
          <w:rFonts w:ascii="Times New Roman" w:hAnsi="Times New Roman" w:cs="Times New Roman"/>
          <w:szCs w:val="21"/>
        </w:rPr>
        <w:t xml:space="preserve"> localized response capacit</w:t>
      </w:r>
      <w:r w:rsidR="002649A4" w:rsidRPr="00916B56">
        <w:rPr>
          <w:rFonts w:ascii="Times New Roman" w:hAnsi="Times New Roman" w:cs="Times New Roman" w:hint="eastAsia"/>
          <w:szCs w:val="21"/>
        </w:rPr>
        <w:t>ies</w:t>
      </w:r>
      <w:r w:rsidR="00E63A80" w:rsidRPr="00916B56">
        <w:rPr>
          <w:rFonts w:ascii="Times New Roman" w:hAnsi="Times New Roman" w:cs="Times New Roman"/>
          <w:szCs w:val="21"/>
        </w:rPr>
        <w:t>, and increas</w:t>
      </w:r>
      <w:r w:rsidR="002649A4" w:rsidRPr="00916B56">
        <w:rPr>
          <w:rFonts w:ascii="Times New Roman" w:hAnsi="Times New Roman" w:cs="Times New Roman" w:hint="eastAsia"/>
          <w:szCs w:val="21"/>
        </w:rPr>
        <w:t>ing</w:t>
      </w:r>
      <w:r w:rsidR="00E63A80" w:rsidRPr="00916B56">
        <w:rPr>
          <w:rFonts w:ascii="Times New Roman" w:hAnsi="Times New Roman" w:cs="Times New Roman"/>
          <w:szCs w:val="21"/>
        </w:rPr>
        <w:t xml:space="preserve"> overseas deliveries.</w:t>
      </w:r>
    </w:p>
    <w:p w14:paraId="1254EE09" w14:textId="523B4D43" w:rsidR="00E63A80" w:rsidRPr="00916B56" w:rsidRDefault="002E3F8A" w:rsidP="00165863">
      <w:pPr>
        <w:spacing w:line="360" w:lineRule="auto"/>
        <w:ind w:firstLineChars="200" w:firstLine="420"/>
        <w:rPr>
          <w:rFonts w:ascii="Times New Roman" w:hAnsi="Times New Roman" w:cs="Times New Roman" w:hint="eastAsia"/>
          <w:szCs w:val="21"/>
        </w:rPr>
      </w:pPr>
      <w:proofErr w:type="spellStart"/>
      <w:r w:rsidRPr="00916B56">
        <w:rPr>
          <w:rFonts w:ascii="Times New Roman" w:hAnsi="Times New Roman" w:cs="Times New Roman"/>
          <w:szCs w:val="21"/>
        </w:rPr>
        <w:t>Katop</w:t>
      </w:r>
      <w:proofErr w:type="spellEnd"/>
      <w:r w:rsidR="00E63A80" w:rsidRPr="00916B56">
        <w:rPr>
          <w:rFonts w:ascii="Times New Roman" w:hAnsi="Times New Roman" w:cs="Times New Roman"/>
          <w:szCs w:val="21"/>
        </w:rPr>
        <w:t xml:space="preserve"> Intel</w:t>
      </w:r>
      <w:r w:rsidR="00896D0C" w:rsidRPr="00916B56">
        <w:rPr>
          <w:rFonts w:ascii="Times New Roman" w:hAnsi="Times New Roman" w:cs="Times New Roman"/>
          <w:szCs w:val="21"/>
        </w:rPr>
        <w:t>ligence, the Company's automation</w:t>
      </w:r>
      <w:r w:rsidR="00E63A80" w:rsidRPr="00916B56">
        <w:rPr>
          <w:rFonts w:ascii="Times New Roman" w:hAnsi="Times New Roman" w:cs="Times New Roman"/>
          <w:szCs w:val="21"/>
        </w:rPr>
        <w:t xml:space="preserve"> equipment platform, was officially listed on the National Equities Exchange and Quotations (NEEQ) in December 2025, laying a foundation for further strengthening its long-term competitive advantages.</w:t>
      </w:r>
    </w:p>
    <w:p w14:paraId="5F3C7F86" w14:textId="77777777" w:rsidR="00E63A80" w:rsidRPr="00916B56" w:rsidRDefault="00E63A80" w:rsidP="00CC71BF">
      <w:pPr>
        <w:spacing w:line="360" w:lineRule="auto"/>
        <w:rPr>
          <w:rFonts w:ascii="Times New Roman" w:hAnsi="Times New Roman" w:cs="Times New Roman"/>
          <w:b/>
          <w:szCs w:val="21"/>
        </w:rPr>
      </w:pPr>
      <w:r w:rsidRPr="00916B56">
        <w:rPr>
          <w:rFonts w:ascii="Times New Roman" w:hAnsi="Times New Roman" w:cs="Times New Roman"/>
          <w:b/>
          <w:szCs w:val="21"/>
        </w:rPr>
        <w:t>IV. Analysis of Core Competitiveness during the Reporting Period</w:t>
      </w:r>
    </w:p>
    <w:p w14:paraId="2EF5109F" w14:textId="2A81FD9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 xml:space="preserve">(I) Strong Product and Service Competitiveness Built through </w:t>
      </w:r>
      <w:r w:rsidR="002649A4" w:rsidRPr="00916B56">
        <w:rPr>
          <w:rFonts w:ascii="Times New Roman" w:hAnsi="Times New Roman" w:cs="Times New Roman" w:hint="eastAsia"/>
          <w:b/>
          <w:szCs w:val="21"/>
        </w:rPr>
        <w:t xml:space="preserve">an </w:t>
      </w:r>
      <w:r w:rsidRPr="00916B56">
        <w:rPr>
          <w:rFonts w:ascii="Times New Roman" w:hAnsi="Times New Roman" w:cs="Times New Roman"/>
          <w:b/>
          <w:szCs w:val="21"/>
        </w:rPr>
        <w:t>Integration Strategy</w:t>
      </w:r>
    </w:p>
    <w:p w14:paraId="6CA9FEED" w14:textId="3FE4CC9D" w:rsidR="0057269E" w:rsidRPr="0057269E" w:rsidRDefault="0057269E" w:rsidP="0057269E">
      <w:pPr>
        <w:spacing w:line="360" w:lineRule="auto"/>
        <w:ind w:firstLineChars="200" w:firstLine="420"/>
        <w:rPr>
          <w:rFonts w:ascii="Times New Roman" w:hAnsi="Times New Roman" w:cs="Times New Roman" w:hint="eastAsia"/>
          <w:szCs w:val="21"/>
        </w:rPr>
      </w:pPr>
      <w:r>
        <w:rPr>
          <w:rFonts w:ascii="Times New Roman" w:hAnsi="Times New Roman" w:cs="Times New Roman"/>
          <w:szCs w:val="21"/>
        </w:rPr>
        <w:t>The company is the only enterprise worldwide</w:t>
      </w:r>
      <w:r w:rsidRPr="0057269E">
        <w:rPr>
          <w:rFonts w:ascii="Times New Roman" w:hAnsi="Times New Roman" w:cs="Times New Roman"/>
          <w:szCs w:val="21"/>
        </w:rPr>
        <w:t xml:space="preserve"> that has established an integrated industrial closed loop of "process, equipment and materials" for coated separators, granting it prominent comprehensive competitive advantages in coating innovation, production efficiency, cost control and quality stability.</w:t>
      </w:r>
    </w:p>
    <w:p w14:paraId="7FB4074E" w14:textId="38B3E1B1" w:rsidR="0057269E" w:rsidRPr="0057269E" w:rsidRDefault="0057269E" w:rsidP="0057269E">
      <w:pPr>
        <w:spacing w:line="360" w:lineRule="auto"/>
        <w:ind w:firstLineChars="200" w:firstLine="420"/>
        <w:rPr>
          <w:rFonts w:ascii="Times New Roman" w:hAnsi="Times New Roman" w:cs="Times New Roman" w:hint="eastAsia"/>
          <w:szCs w:val="21"/>
        </w:rPr>
      </w:pPr>
      <w:r w:rsidRPr="0057269E">
        <w:rPr>
          <w:rFonts w:ascii="Times New Roman" w:hAnsi="Times New Roman" w:cs="Times New Roman"/>
          <w:szCs w:val="21"/>
        </w:rPr>
        <w:t>It ranks among the industry leaders in terms of coated separator production capacity, self-sufficiency in key coating materials, self-supply of core automated equipment, and technological improvement capabilities.</w:t>
      </w:r>
    </w:p>
    <w:p w14:paraId="02C999F4" w14:textId="02E183FA" w:rsidR="0057269E" w:rsidRPr="0057269E" w:rsidRDefault="0057269E" w:rsidP="0057269E">
      <w:pPr>
        <w:spacing w:line="360" w:lineRule="auto"/>
        <w:ind w:firstLineChars="200" w:firstLine="420"/>
        <w:rPr>
          <w:rFonts w:ascii="Times New Roman" w:hAnsi="Times New Roman" w:cs="Times New Roman" w:hint="eastAsia"/>
          <w:szCs w:val="21"/>
        </w:rPr>
      </w:pPr>
      <w:r w:rsidRPr="0057269E">
        <w:rPr>
          <w:rFonts w:ascii="Times New Roman" w:hAnsi="Times New Roman" w:cs="Times New Roman"/>
          <w:szCs w:val="21"/>
        </w:rPr>
        <w:t>In the field of functional materials for new energy batteries, the company’s PVDF, PAA (produced by an equity-participated company), alumina a</w:t>
      </w:r>
      <w:r>
        <w:rPr>
          <w:rFonts w:ascii="Times New Roman" w:hAnsi="Times New Roman" w:cs="Times New Roman"/>
          <w:szCs w:val="21"/>
        </w:rPr>
        <w:t xml:space="preserve">nd </w:t>
      </w:r>
      <w:proofErr w:type="spellStart"/>
      <w:r>
        <w:rPr>
          <w:rFonts w:ascii="Times New Roman" w:hAnsi="Times New Roman" w:cs="Times New Roman"/>
          <w:szCs w:val="21"/>
        </w:rPr>
        <w:t>boehmite</w:t>
      </w:r>
      <w:proofErr w:type="spellEnd"/>
      <w:r>
        <w:rPr>
          <w:rFonts w:ascii="Times New Roman" w:hAnsi="Times New Roman" w:cs="Times New Roman"/>
          <w:szCs w:val="21"/>
        </w:rPr>
        <w:t xml:space="preserve"> have all achieved </w:t>
      </w:r>
      <w:r w:rsidRPr="0057269E">
        <w:rPr>
          <w:rFonts w:ascii="Times New Roman" w:hAnsi="Times New Roman" w:cs="Times New Roman"/>
          <w:szCs w:val="21"/>
        </w:rPr>
        <w:t>global lead</w:t>
      </w:r>
      <w:r>
        <w:rPr>
          <w:rFonts w:ascii="Times New Roman" w:hAnsi="Times New Roman" w:cs="Times New Roman"/>
          <w:szCs w:val="21"/>
        </w:rPr>
        <w:t>ership in technology and scale</w:t>
      </w:r>
      <w:r w:rsidRPr="0057269E">
        <w:rPr>
          <w:rFonts w:ascii="Times New Roman" w:hAnsi="Times New Roman" w:cs="Times New Roman"/>
          <w:szCs w:val="21"/>
        </w:rPr>
        <w:t>, with significant market share.</w:t>
      </w:r>
    </w:p>
    <w:p w14:paraId="765367D7" w14:textId="0E79CCCF" w:rsidR="0057269E" w:rsidRPr="0057269E" w:rsidRDefault="0057269E" w:rsidP="006F3141">
      <w:pPr>
        <w:spacing w:line="360" w:lineRule="auto"/>
        <w:ind w:firstLineChars="200" w:firstLine="420"/>
        <w:rPr>
          <w:rFonts w:ascii="Times New Roman" w:hAnsi="Times New Roman" w:cs="Times New Roman" w:hint="eastAsia"/>
          <w:szCs w:val="21"/>
        </w:rPr>
      </w:pPr>
      <w:r w:rsidRPr="0057269E">
        <w:rPr>
          <w:rFonts w:ascii="Times New Roman" w:hAnsi="Times New Roman" w:cs="Times New Roman"/>
          <w:szCs w:val="21"/>
        </w:rPr>
        <w:t>In the base film segment, the company has realized independent and controllable base film equipment through self-integrated design. Leveraging its integrated layout of "separator base film + coating materials + base film equipment", it is able to provide downstream customers with sustainable cost-control solutions, drive cost reduction and efficiency improvement across the industry, and maintain strong long-term comprehensive competitiveness.</w:t>
      </w:r>
    </w:p>
    <w:p w14:paraId="38E32A8D" w14:textId="7BDEAC98" w:rsidR="007C2F84" w:rsidRPr="00916B56" w:rsidRDefault="0057269E" w:rsidP="0057269E">
      <w:pPr>
        <w:spacing w:line="360" w:lineRule="auto"/>
        <w:ind w:firstLineChars="200" w:firstLine="420"/>
        <w:rPr>
          <w:rFonts w:ascii="Times New Roman" w:hAnsi="Times New Roman" w:cs="Times New Roman"/>
          <w:szCs w:val="21"/>
        </w:rPr>
      </w:pPr>
      <w:r w:rsidRPr="0057269E">
        <w:rPr>
          <w:rFonts w:ascii="Times New Roman" w:hAnsi="Times New Roman" w:cs="Times New Roman"/>
          <w:szCs w:val="21"/>
        </w:rPr>
        <w:t>In terms of anode materials, the company has also adopted an integrated process layout. Its Sichuan production base has adopted a number of pioneering technologies, including continuous production and automated powder conveying systems. This has brought innovative upgrades to anode manufacturing in environmental friendliness, safety, energy conservation, emission reduction, intelligence and digitalization, and is poised to become a next-generation benchmark factory for anode materials</w:t>
      </w:r>
      <w:r w:rsidR="007C2F84" w:rsidRPr="00916B56">
        <w:rPr>
          <w:rFonts w:ascii="Times New Roman" w:hAnsi="Times New Roman" w:cs="Times New Roman" w:hint="eastAsia"/>
          <w:szCs w:val="21"/>
        </w:rPr>
        <w:t>.</w:t>
      </w:r>
    </w:p>
    <w:p w14:paraId="3BB1B8C4" w14:textId="6E85CACE" w:rsidR="00E63A80" w:rsidRPr="00916B56" w:rsidRDefault="00224208"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 xml:space="preserve"> </w:t>
      </w:r>
      <w:r w:rsidR="00E63A80" w:rsidRPr="00916B56">
        <w:rPr>
          <w:rFonts w:ascii="Times New Roman" w:hAnsi="Times New Roman" w:cs="Times New Roman"/>
          <w:b/>
          <w:szCs w:val="21"/>
        </w:rPr>
        <w:t xml:space="preserve">(II) Synergistic Advantages of "Materials + Process + Equipment" Enabled by </w:t>
      </w:r>
      <w:r w:rsidR="007C2F84" w:rsidRPr="00916B56">
        <w:rPr>
          <w:rFonts w:ascii="Times New Roman" w:hAnsi="Times New Roman" w:cs="Times New Roman" w:hint="eastAsia"/>
          <w:b/>
          <w:szCs w:val="21"/>
        </w:rPr>
        <w:t xml:space="preserve">a </w:t>
      </w:r>
      <w:r w:rsidR="00E63A80" w:rsidRPr="00916B56">
        <w:rPr>
          <w:rFonts w:ascii="Times New Roman" w:hAnsi="Times New Roman" w:cs="Times New Roman"/>
          <w:b/>
          <w:szCs w:val="21"/>
        </w:rPr>
        <w:t>Platform-based Strategy</w:t>
      </w:r>
    </w:p>
    <w:p w14:paraId="6D7AC0A7" w14:textId="77777777" w:rsidR="0038439A"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The Company has a strong R&amp;D team for</w:t>
      </w:r>
      <w:r w:rsidR="00896D0C" w:rsidRPr="00916B56">
        <w:rPr>
          <w:rFonts w:ascii="Times New Roman" w:hAnsi="Times New Roman" w:cs="Times New Roman"/>
          <w:szCs w:val="21"/>
        </w:rPr>
        <w:t xml:space="preserve"> battery materials and automation</w:t>
      </w:r>
      <w:r w:rsidRPr="00916B56">
        <w:rPr>
          <w:rFonts w:ascii="Times New Roman" w:hAnsi="Times New Roman" w:cs="Times New Roman"/>
          <w:szCs w:val="21"/>
        </w:rPr>
        <w:t xml:space="preserve"> equipment, as well as battery industry experts. </w:t>
      </w:r>
    </w:p>
    <w:p w14:paraId="5234B3E2" w14:textId="44379BBB" w:rsidR="0038439A" w:rsidRPr="00165863" w:rsidRDefault="00E63A80" w:rsidP="00165863">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Based on a deep understanding of the electrochemical system of new energy batteries, after years of high-intensity R&amp;D investment</w:t>
      </w:r>
      <w:r w:rsidR="0038439A" w:rsidRPr="00916B56">
        <w:rPr>
          <w:rFonts w:ascii="Times New Roman" w:hAnsi="Times New Roman" w:cs="Times New Roman" w:hint="eastAsia"/>
          <w:szCs w:val="21"/>
        </w:rPr>
        <w:t>, the Company has established a forward-looking platform-based strategic framework. This</w:t>
      </w:r>
      <w:r w:rsidR="00165863">
        <w:rPr>
          <w:rFonts w:ascii="Times New Roman" w:hAnsi="Times New Roman" w:cs="Times New Roman" w:hint="eastAsia"/>
          <w:szCs w:val="21"/>
        </w:rPr>
        <w:t xml:space="preserve"> enables the Company to deliver</w:t>
      </w:r>
      <w:r w:rsidR="00165863">
        <w:rPr>
          <w:rFonts w:ascii="Times New Roman" w:hAnsi="Times New Roman" w:cs="Times New Roman"/>
          <w:szCs w:val="21"/>
        </w:rPr>
        <w:t xml:space="preserve"> c</w:t>
      </w:r>
      <w:r w:rsidR="0038439A" w:rsidRPr="00165863">
        <w:rPr>
          <w:rFonts w:ascii="Times New Roman" w:hAnsi="Times New Roman" w:cs="Times New Roman" w:hint="eastAsia"/>
          <w:szCs w:val="21"/>
        </w:rPr>
        <w:t>omprehensive solution capabilities</w:t>
      </w:r>
      <w:r w:rsidR="00165863">
        <w:rPr>
          <w:rFonts w:ascii="Times New Roman" w:hAnsi="Times New Roman" w:cs="Times New Roman" w:hint="eastAsia"/>
          <w:szCs w:val="21"/>
        </w:rPr>
        <w:t>,</w:t>
      </w:r>
      <w:r w:rsidR="00165863">
        <w:rPr>
          <w:rFonts w:ascii="Times New Roman" w:hAnsi="Times New Roman" w:cs="Times New Roman"/>
          <w:szCs w:val="21"/>
        </w:rPr>
        <w:t xml:space="preserve"> c</w:t>
      </w:r>
      <w:r w:rsidR="0038439A" w:rsidRPr="00165863">
        <w:rPr>
          <w:rFonts w:ascii="Times New Roman" w:hAnsi="Times New Roman" w:cs="Times New Roman" w:hint="eastAsia"/>
          <w:szCs w:val="21"/>
        </w:rPr>
        <w:t>ross-technology synergies</w:t>
      </w:r>
      <w:r w:rsidR="00165863">
        <w:rPr>
          <w:rFonts w:ascii="Times New Roman" w:hAnsi="Times New Roman" w:cs="Times New Roman" w:hint="eastAsia"/>
          <w:szCs w:val="21"/>
        </w:rPr>
        <w:t>,</w:t>
      </w:r>
      <w:r w:rsidR="00165863">
        <w:rPr>
          <w:rFonts w:ascii="Times New Roman" w:hAnsi="Times New Roman" w:cs="Times New Roman"/>
          <w:szCs w:val="21"/>
        </w:rPr>
        <w:t xml:space="preserve"> c</w:t>
      </w:r>
      <w:r w:rsidR="0038439A" w:rsidRPr="00165863">
        <w:rPr>
          <w:rFonts w:ascii="Times New Roman" w:hAnsi="Times New Roman" w:cs="Times New Roman" w:hint="eastAsia"/>
          <w:szCs w:val="21"/>
        </w:rPr>
        <w:t>ustomer-oriented integrated services</w:t>
      </w:r>
      <w:r w:rsidR="00165863">
        <w:rPr>
          <w:rFonts w:ascii="Times New Roman" w:hAnsi="Times New Roman" w:cs="Times New Roman"/>
          <w:szCs w:val="21"/>
        </w:rPr>
        <w:t>.</w:t>
      </w:r>
    </w:p>
    <w:p w14:paraId="6B36F115" w14:textId="668A37EC" w:rsidR="0038439A" w:rsidRPr="00916B56" w:rsidRDefault="00493E91"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Going beyond traditional single-product competition, the Company has developed a collaborative empowerment system spanning the entire customer product lifecycle. In addition to delivering products, the Company provides deeply customized processes and system-level solutions, forming a core competitive advantage that is difficult to replicate.</w:t>
      </w:r>
    </w:p>
    <w:p w14:paraId="0D76F32C" w14:textId="11E6BF67" w:rsidR="00493E91" w:rsidRPr="00165863" w:rsidRDefault="00493E91" w:rsidP="00165863">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 xml:space="preserve">Through platform-based integration, the Company has achieved full </w:t>
      </w:r>
      <w:r w:rsidR="00165863">
        <w:rPr>
          <w:rFonts w:ascii="Times New Roman" w:hAnsi="Times New Roman" w:cs="Times New Roman" w:hint="eastAsia"/>
          <w:szCs w:val="21"/>
        </w:rPr>
        <w:t>value chain coverage, including</w:t>
      </w:r>
      <w:r w:rsidR="00165863">
        <w:rPr>
          <w:rFonts w:ascii="Times New Roman" w:hAnsi="Times New Roman" w:cs="Times New Roman"/>
          <w:szCs w:val="21"/>
        </w:rPr>
        <w:t xml:space="preserve"> m</w:t>
      </w:r>
      <w:r w:rsidRPr="00165863">
        <w:rPr>
          <w:rFonts w:ascii="Times New Roman" w:hAnsi="Times New Roman" w:cs="Times New Roman" w:hint="eastAsia"/>
          <w:szCs w:val="21"/>
        </w:rPr>
        <w:t>aterial innovation</w:t>
      </w:r>
      <w:r w:rsidR="00165863">
        <w:rPr>
          <w:rFonts w:ascii="Times New Roman" w:hAnsi="Times New Roman" w:cs="Times New Roman" w:hint="eastAsia"/>
          <w:szCs w:val="21"/>
        </w:rPr>
        <w:t>,</w:t>
      </w:r>
      <w:r w:rsidR="00165863">
        <w:rPr>
          <w:rFonts w:ascii="Times New Roman" w:hAnsi="Times New Roman" w:cs="Times New Roman"/>
          <w:szCs w:val="21"/>
        </w:rPr>
        <w:t xml:space="preserve"> e</w:t>
      </w:r>
      <w:r w:rsidRPr="00165863">
        <w:rPr>
          <w:rFonts w:ascii="Times New Roman" w:hAnsi="Times New Roman" w:cs="Times New Roman" w:hint="eastAsia"/>
          <w:szCs w:val="21"/>
        </w:rPr>
        <w:t>quipment development</w:t>
      </w:r>
      <w:r w:rsidR="00165863">
        <w:rPr>
          <w:rFonts w:ascii="Times New Roman" w:hAnsi="Times New Roman" w:cs="Times New Roman" w:hint="eastAsia"/>
          <w:szCs w:val="21"/>
        </w:rPr>
        <w:t>,</w:t>
      </w:r>
      <w:r w:rsidR="00165863">
        <w:rPr>
          <w:rFonts w:ascii="Times New Roman" w:hAnsi="Times New Roman" w:cs="Times New Roman"/>
          <w:szCs w:val="21"/>
        </w:rPr>
        <w:t xml:space="preserve"> p</w:t>
      </w:r>
      <w:r w:rsidRPr="00165863">
        <w:rPr>
          <w:rFonts w:ascii="Times New Roman" w:hAnsi="Times New Roman" w:cs="Times New Roman" w:hint="eastAsia"/>
          <w:szCs w:val="21"/>
        </w:rPr>
        <w:t>rocess optimization</w:t>
      </w:r>
      <w:r w:rsidR="00165863">
        <w:rPr>
          <w:rFonts w:ascii="Times New Roman" w:hAnsi="Times New Roman" w:cs="Times New Roman"/>
          <w:szCs w:val="21"/>
        </w:rPr>
        <w:t xml:space="preserve"> and v</w:t>
      </w:r>
      <w:r w:rsidRPr="00165863">
        <w:rPr>
          <w:rFonts w:ascii="Times New Roman" w:hAnsi="Times New Roman" w:cs="Times New Roman" w:hint="eastAsia"/>
          <w:szCs w:val="21"/>
        </w:rPr>
        <w:t>alue-added services</w:t>
      </w:r>
      <w:r w:rsidR="00165863">
        <w:rPr>
          <w:rFonts w:ascii="Times New Roman" w:hAnsi="Times New Roman" w:cs="Times New Roman"/>
          <w:szCs w:val="21"/>
        </w:rPr>
        <w:t>.</w:t>
      </w:r>
    </w:p>
    <w:p w14:paraId="2B969743" w14:textId="67FCBB0C" w:rsidR="00493E91" w:rsidRPr="00165863" w:rsidRDefault="00493E91" w:rsidP="00165863">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All business segments demonstrate strong synergy across R&amp;D, market development, and manufacturing, continuously strengthening the Company</w:t>
      </w:r>
      <w:proofErr w:type="gramStart"/>
      <w:r w:rsidRPr="00916B56">
        <w:rPr>
          <w:rFonts w:ascii="Times New Roman" w:hAnsi="Times New Roman" w:cs="Times New Roman" w:hint="eastAsia"/>
          <w:szCs w:val="21"/>
        </w:rPr>
        <w:t>’</w:t>
      </w:r>
      <w:proofErr w:type="gramEnd"/>
      <w:r w:rsidR="00165863">
        <w:rPr>
          <w:rFonts w:ascii="Times New Roman" w:hAnsi="Times New Roman" w:cs="Times New Roman" w:hint="eastAsia"/>
          <w:szCs w:val="21"/>
        </w:rPr>
        <w:t>s advantages in</w:t>
      </w:r>
      <w:r w:rsidR="00165863">
        <w:rPr>
          <w:rFonts w:ascii="Times New Roman" w:hAnsi="Times New Roman" w:cs="Times New Roman"/>
          <w:szCs w:val="21"/>
        </w:rPr>
        <w:t xml:space="preserve"> p</w:t>
      </w:r>
      <w:r w:rsidRPr="00165863">
        <w:rPr>
          <w:rFonts w:ascii="Times New Roman" w:hAnsi="Times New Roman" w:cs="Times New Roman" w:hint="eastAsia"/>
          <w:szCs w:val="21"/>
        </w:rPr>
        <w:t>roduct quality</w:t>
      </w:r>
      <w:r w:rsidR="00165863">
        <w:rPr>
          <w:rFonts w:ascii="Times New Roman" w:hAnsi="Times New Roman" w:cs="Times New Roman" w:hint="eastAsia"/>
          <w:szCs w:val="21"/>
        </w:rPr>
        <w:t>,</w:t>
      </w:r>
      <w:r w:rsidR="00165863">
        <w:rPr>
          <w:rFonts w:ascii="Times New Roman" w:hAnsi="Times New Roman" w:cs="Times New Roman"/>
          <w:szCs w:val="21"/>
        </w:rPr>
        <w:t xml:space="preserve"> c</w:t>
      </w:r>
      <w:r w:rsidRPr="00165863">
        <w:rPr>
          <w:rFonts w:ascii="Times New Roman" w:hAnsi="Times New Roman" w:cs="Times New Roman" w:hint="eastAsia"/>
          <w:szCs w:val="21"/>
        </w:rPr>
        <w:t>ost efficiency</w:t>
      </w:r>
      <w:r w:rsidR="00165863">
        <w:rPr>
          <w:rFonts w:ascii="Times New Roman" w:hAnsi="Times New Roman" w:cs="Times New Roman" w:hint="eastAsia"/>
          <w:szCs w:val="21"/>
        </w:rPr>
        <w:t>,</w:t>
      </w:r>
      <w:r w:rsidR="00165863">
        <w:rPr>
          <w:rFonts w:ascii="Times New Roman" w:hAnsi="Times New Roman" w:cs="Times New Roman"/>
          <w:szCs w:val="21"/>
        </w:rPr>
        <w:t xml:space="preserve"> s</w:t>
      </w:r>
      <w:r w:rsidRPr="00165863">
        <w:rPr>
          <w:rFonts w:ascii="Times New Roman" w:hAnsi="Times New Roman" w:cs="Times New Roman" w:hint="eastAsia"/>
          <w:szCs w:val="21"/>
        </w:rPr>
        <w:t>peed of technological iteration</w:t>
      </w:r>
      <w:r w:rsidR="00165863">
        <w:rPr>
          <w:rFonts w:ascii="Times New Roman" w:hAnsi="Times New Roman" w:cs="Times New Roman"/>
          <w:szCs w:val="21"/>
        </w:rPr>
        <w:t>.</w:t>
      </w:r>
    </w:p>
    <w:p w14:paraId="43D7BDBB" w14:textId="49B40A17" w:rsidR="00224208" w:rsidRPr="00916B56" w:rsidRDefault="00493E91"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T</w:t>
      </w:r>
      <w:r w:rsidR="00165863">
        <w:rPr>
          <w:rFonts w:ascii="Times New Roman" w:hAnsi="Times New Roman" w:cs="Times New Roman" w:hint="eastAsia"/>
          <w:szCs w:val="21"/>
        </w:rPr>
        <w:t>h</w:t>
      </w:r>
      <w:r w:rsidR="00165863">
        <w:rPr>
          <w:rFonts w:ascii="Times New Roman" w:hAnsi="Times New Roman" w:cs="Times New Roman"/>
          <w:szCs w:val="21"/>
        </w:rPr>
        <w:t>ese</w:t>
      </w:r>
      <w:r w:rsidRPr="00916B56">
        <w:rPr>
          <w:rFonts w:ascii="Times New Roman" w:hAnsi="Times New Roman" w:cs="Times New Roman" w:hint="eastAsia"/>
          <w:szCs w:val="21"/>
        </w:rPr>
        <w:t xml:space="preserve"> integrated capability provides a solid foundation for capturing emerging opportunities in the ongoing transformation of the global new energy industry.</w:t>
      </w:r>
    </w:p>
    <w:p w14:paraId="311DCC62" w14:textId="7777777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(III) Technological and R&amp;D Advantages</w:t>
      </w:r>
    </w:p>
    <w:p w14:paraId="5C4EF763" w14:textId="252504C8" w:rsidR="00517A39" w:rsidRPr="00916B56" w:rsidRDefault="00E63A80" w:rsidP="00CC71BF">
      <w:pPr>
        <w:spacing w:line="360" w:lineRule="auto"/>
        <w:ind w:firstLineChars="200" w:firstLine="420"/>
        <w:rPr>
          <w:rFonts w:ascii="Times New Roman" w:hAnsi="Times New Roman" w:cs="Times New Roman"/>
          <w:strike/>
          <w:szCs w:val="21"/>
        </w:rPr>
      </w:pPr>
      <w:r w:rsidRPr="00916B56">
        <w:rPr>
          <w:rFonts w:ascii="Times New Roman" w:hAnsi="Times New Roman" w:cs="Times New Roman"/>
          <w:szCs w:val="21"/>
        </w:rPr>
        <w:t xml:space="preserve">As a platform-based enterprise </w:t>
      </w:r>
      <w:r w:rsidR="007465D7" w:rsidRPr="00916B56">
        <w:rPr>
          <w:rFonts w:ascii="Times New Roman" w:hAnsi="Times New Roman" w:cs="Times New Roman" w:hint="eastAsia"/>
          <w:szCs w:val="21"/>
        </w:rPr>
        <w:t xml:space="preserve">focused on </w:t>
      </w:r>
      <w:r w:rsidRPr="00916B56">
        <w:rPr>
          <w:rFonts w:ascii="Times New Roman" w:hAnsi="Times New Roman" w:cs="Times New Roman"/>
          <w:szCs w:val="21"/>
        </w:rPr>
        <w:t xml:space="preserve">battery materials and process solutions, the Company </w:t>
      </w:r>
      <w:r w:rsidR="00517A39" w:rsidRPr="00916B56">
        <w:rPr>
          <w:rFonts w:ascii="Times New Roman" w:hAnsi="Times New Roman" w:cs="Times New Roman" w:hint="eastAsia"/>
          <w:szCs w:val="21"/>
        </w:rPr>
        <w:t xml:space="preserve">continuously </w:t>
      </w:r>
      <w:r w:rsidRPr="00916B56">
        <w:rPr>
          <w:rFonts w:ascii="Times New Roman" w:hAnsi="Times New Roman" w:cs="Times New Roman"/>
          <w:szCs w:val="21"/>
        </w:rPr>
        <w:t xml:space="preserve">expands </w:t>
      </w:r>
      <w:r w:rsidR="00517A39" w:rsidRPr="00916B56">
        <w:rPr>
          <w:rFonts w:ascii="Times New Roman" w:hAnsi="Times New Roman" w:cs="Times New Roman" w:hint="eastAsia"/>
          <w:szCs w:val="21"/>
        </w:rPr>
        <w:t xml:space="preserve">its technological </w:t>
      </w:r>
      <w:r w:rsidRPr="00916B56">
        <w:rPr>
          <w:rFonts w:ascii="Times New Roman" w:hAnsi="Times New Roman" w:cs="Times New Roman"/>
          <w:szCs w:val="21"/>
        </w:rPr>
        <w:t xml:space="preserve">boundaries </w:t>
      </w:r>
      <w:r w:rsidR="00517A39" w:rsidRPr="00916B56">
        <w:rPr>
          <w:rFonts w:ascii="Times New Roman" w:hAnsi="Times New Roman" w:cs="Times New Roman" w:hint="eastAsia"/>
          <w:szCs w:val="21"/>
        </w:rPr>
        <w:t xml:space="preserve">through </w:t>
      </w:r>
      <w:r w:rsidRPr="00916B56">
        <w:rPr>
          <w:rFonts w:ascii="Times New Roman" w:hAnsi="Times New Roman" w:cs="Times New Roman"/>
          <w:szCs w:val="21"/>
        </w:rPr>
        <w:t xml:space="preserve">material innovation and leads </w:t>
      </w:r>
      <w:r w:rsidR="00517A39" w:rsidRPr="00916B56">
        <w:rPr>
          <w:rFonts w:ascii="Times New Roman" w:hAnsi="Times New Roman" w:cs="Times New Roman" w:hint="eastAsia"/>
          <w:szCs w:val="21"/>
        </w:rPr>
        <w:t xml:space="preserve">industry development through </w:t>
      </w:r>
      <w:r w:rsidRPr="00916B56">
        <w:rPr>
          <w:rFonts w:ascii="Times New Roman" w:hAnsi="Times New Roman" w:cs="Times New Roman"/>
          <w:szCs w:val="21"/>
        </w:rPr>
        <w:t>intelligent manufacturing</w:t>
      </w:r>
      <w:r w:rsidR="00517A39" w:rsidRPr="00916B56">
        <w:rPr>
          <w:rFonts w:ascii="Times New Roman" w:hAnsi="Times New Roman" w:cs="Times New Roman" w:hint="eastAsia"/>
          <w:szCs w:val="21"/>
        </w:rPr>
        <w:t>.</w:t>
      </w:r>
    </w:p>
    <w:p w14:paraId="5F368D3D" w14:textId="2D9E18AA"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 As of the end of 2025, the Company and its subsidiaries have obtained a total of 1,792 patents, covering all </w:t>
      </w:r>
      <w:r w:rsidR="00517A39" w:rsidRPr="00916B56">
        <w:rPr>
          <w:rFonts w:ascii="Times New Roman" w:hAnsi="Times New Roman" w:cs="Times New Roman" w:hint="eastAsia"/>
          <w:szCs w:val="21"/>
        </w:rPr>
        <w:t>critical aspects of its</w:t>
      </w:r>
      <w:r w:rsidRPr="00916B56">
        <w:rPr>
          <w:rFonts w:ascii="Times New Roman" w:hAnsi="Times New Roman" w:cs="Times New Roman"/>
          <w:szCs w:val="21"/>
        </w:rPr>
        <w:t xml:space="preserve"> core business such as anode materials, separator </w:t>
      </w:r>
      <w:r w:rsidR="00896D0C" w:rsidRPr="00916B56">
        <w:rPr>
          <w:rFonts w:ascii="Times New Roman" w:hAnsi="Times New Roman" w:cs="Times New Roman"/>
          <w:szCs w:val="21"/>
        </w:rPr>
        <w:t>coating, and automation</w:t>
      </w:r>
      <w:r w:rsidR="00224208" w:rsidRPr="00916B56">
        <w:rPr>
          <w:rFonts w:ascii="Times New Roman" w:hAnsi="Times New Roman" w:cs="Times New Roman"/>
          <w:szCs w:val="21"/>
        </w:rPr>
        <w:t xml:space="preserve"> equipment</w:t>
      </w:r>
      <w:r w:rsidR="00517A39" w:rsidRPr="00916B56">
        <w:rPr>
          <w:rFonts w:ascii="Times New Roman" w:hAnsi="Times New Roman" w:cs="Times New Roman" w:hint="eastAsia"/>
          <w:szCs w:val="21"/>
        </w:rPr>
        <w:t>.</w:t>
      </w:r>
      <w:r w:rsidR="00224208" w:rsidRPr="00916B56">
        <w:rPr>
          <w:rFonts w:ascii="Times New Roman" w:hAnsi="Times New Roman" w:cs="Times New Roman"/>
          <w:szCs w:val="21"/>
        </w:rPr>
        <w:t xml:space="preserve"> </w:t>
      </w:r>
      <w:r w:rsidR="00517A39" w:rsidRPr="00916B56">
        <w:rPr>
          <w:rFonts w:ascii="Times New Roman" w:hAnsi="Times New Roman" w:cs="Times New Roman" w:hint="eastAsia"/>
          <w:szCs w:val="21"/>
        </w:rPr>
        <w:t xml:space="preserve">This enables the Company </w:t>
      </w:r>
      <w:r w:rsidRPr="00916B56">
        <w:rPr>
          <w:rFonts w:ascii="Times New Roman" w:hAnsi="Times New Roman" w:cs="Times New Roman"/>
          <w:szCs w:val="21"/>
        </w:rPr>
        <w:t>provide customers with comprehensive solutions.</w:t>
      </w:r>
    </w:p>
    <w:p w14:paraId="4AD53B7F" w14:textId="7777777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1. New Energy Battery Materials and Services</w:t>
      </w:r>
    </w:p>
    <w:p w14:paraId="715844E9" w14:textId="77777777" w:rsidR="00E63A80" w:rsidRPr="00916B56" w:rsidRDefault="00E63A80"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(1) Membrane Materials and Coating Processing Business</w:t>
      </w:r>
    </w:p>
    <w:p w14:paraId="539110D1" w14:textId="6890D53D" w:rsidR="00355199" w:rsidRPr="00165863" w:rsidRDefault="00E63A80" w:rsidP="006F3141">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The Company is the </w:t>
      </w:r>
      <w:r w:rsidR="00355199" w:rsidRPr="00916B56">
        <w:rPr>
          <w:rFonts w:ascii="Times New Roman" w:hAnsi="Times New Roman" w:cs="Times New Roman" w:hint="eastAsia"/>
          <w:szCs w:val="21"/>
        </w:rPr>
        <w:t xml:space="preserve">most efficient </w:t>
      </w:r>
      <w:r w:rsidRPr="00916B56">
        <w:rPr>
          <w:rFonts w:ascii="Times New Roman" w:hAnsi="Times New Roman" w:cs="Times New Roman"/>
          <w:szCs w:val="21"/>
        </w:rPr>
        <w:t>base</w:t>
      </w:r>
      <w:r w:rsidR="00EA6A1B" w:rsidRPr="00916B56">
        <w:rPr>
          <w:rFonts w:ascii="Times New Roman" w:hAnsi="Times New Roman" w:cs="Times New Roman"/>
          <w:szCs w:val="21"/>
        </w:rPr>
        <w:t xml:space="preserve"> separator</w:t>
      </w:r>
      <w:r w:rsidRPr="00916B56">
        <w:rPr>
          <w:rFonts w:ascii="Times New Roman" w:hAnsi="Times New Roman" w:cs="Times New Roman"/>
          <w:szCs w:val="21"/>
        </w:rPr>
        <w:t xml:space="preserve"> film in the global wet-process separator industry. Its ability to independently integrate production equipment has been recognized by the market, </w:t>
      </w:r>
      <w:r w:rsidR="00355199" w:rsidRPr="00916B56">
        <w:rPr>
          <w:rFonts w:ascii="Times New Roman" w:hAnsi="Times New Roman" w:cs="Times New Roman" w:hint="eastAsia"/>
          <w:szCs w:val="21"/>
        </w:rPr>
        <w:t xml:space="preserve">effectively </w:t>
      </w:r>
      <w:r w:rsidR="00355199" w:rsidRPr="00916B56">
        <w:rPr>
          <w:rFonts w:ascii="Times New Roman" w:hAnsi="Times New Roman" w:cs="Times New Roman"/>
          <w:szCs w:val="21"/>
        </w:rPr>
        <w:t>overcoming</w:t>
      </w:r>
      <w:r w:rsidR="00355199" w:rsidRPr="00916B56">
        <w:rPr>
          <w:rFonts w:ascii="Times New Roman" w:hAnsi="Times New Roman" w:cs="Times New Roman" w:hint="eastAsia"/>
          <w:szCs w:val="21"/>
        </w:rPr>
        <w:t xml:space="preserve"> the industry</w:t>
      </w:r>
      <w:r w:rsidR="00355199" w:rsidRPr="00916B56">
        <w:rPr>
          <w:rFonts w:ascii="Times New Roman" w:hAnsi="Times New Roman" w:cs="Times New Roman"/>
          <w:szCs w:val="21"/>
        </w:rPr>
        <w:t>’</w:t>
      </w:r>
      <w:r w:rsidR="00355199" w:rsidRPr="00916B56">
        <w:rPr>
          <w:rFonts w:ascii="Times New Roman" w:hAnsi="Times New Roman" w:cs="Times New Roman" w:hint="eastAsia"/>
          <w:szCs w:val="21"/>
        </w:rPr>
        <w:t>s re</w:t>
      </w:r>
      <w:r w:rsidR="00224208" w:rsidRPr="00916B56">
        <w:rPr>
          <w:rFonts w:ascii="Times New Roman" w:hAnsi="Times New Roman" w:cs="Times New Roman" w:hint="eastAsia"/>
          <w:szCs w:val="21"/>
        </w:rPr>
        <w:t>liance on overseas suppliers fo</w:t>
      </w:r>
      <w:r w:rsidR="00224208" w:rsidRPr="00916B56">
        <w:rPr>
          <w:rFonts w:ascii="Times New Roman" w:hAnsi="Times New Roman" w:cs="Times New Roman"/>
          <w:szCs w:val="21"/>
        </w:rPr>
        <w:t xml:space="preserve">r </w:t>
      </w:r>
      <w:r w:rsidRPr="00916B56">
        <w:rPr>
          <w:rFonts w:ascii="Times New Roman" w:hAnsi="Times New Roman" w:cs="Times New Roman"/>
          <w:szCs w:val="21"/>
        </w:rPr>
        <w:t>advanced production lines</w:t>
      </w:r>
      <w:r w:rsidR="00355199" w:rsidRPr="00916B56">
        <w:rPr>
          <w:rFonts w:ascii="Times New Roman" w:hAnsi="Times New Roman" w:cs="Times New Roman" w:hint="eastAsia"/>
          <w:szCs w:val="21"/>
        </w:rPr>
        <w:t>.</w:t>
      </w:r>
      <w:r w:rsidRPr="00916B56">
        <w:rPr>
          <w:rFonts w:ascii="Times New Roman" w:hAnsi="Times New Roman" w:cs="Times New Roman"/>
          <w:szCs w:val="21"/>
        </w:rPr>
        <w:t xml:space="preserve"> </w:t>
      </w:r>
      <w:r w:rsidR="00165863">
        <w:rPr>
          <w:rFonts w:ascii="Times New Roman" w:hAnsi="Times New Roman" w:cs="Times New Roman" w:hint="eastAsia"/>
          <w:szCs w:val="21"/>
        </w:rPr>
        <w:t>Key achievements include</w:t>
      </w:r>
      <w:r w:rsidR="00165863">
        <w:rPr>
          <w:rFonts w:ascii="Times New Roman" w:hAnsi="Times New Roman" w:cs="Times New Roman"/>
          <w:szCs w:val="21"/>
        </w:rPr>
        <w:t xml:space="preserve"> s</w:t>
      </w:r>
      <w:r w:rsidR="00355199" w:rsidRPr="00165863">
        <w:rPr>
          <w:rFonts w:ascii="Times New Roman" w:hAnsi="Times New Roman" w:cs="Times New Roman" w:hint="eastAsia"/>
          <w:szCs w:val="21"/>
        </w:rPr>
        <w:t>ingle-line production capacity of up to 200 million m</w:t>
      </w:r>
      <w:r w:rsidR="00355199" w:rsidRPr="00165863">
        <w:rPr>
          <w:rFonts w:ascii="Times New Roman" w:hAnsi="Times New Roman" w:cs="Times New Roman" w:hint="eastAsia"/>
          <w:szCs w:val="21"/>
        </w:rPr>
        <w:t>²</w:t>
      </w:r>
      <w:r w:rsidR="00355199" w:rsidRPr="00165863">
        <w:rPr>
          <w:rFonts w:ascii="Times New Roman" w:hAnsi="Times New Roman" w:cs="Times New Roman" w:hint="eastAsia"/>
          <w:szCs w:val="21"/>
        </w:rPr>
        <w:t>/year for current equipment</w:t>
      </w:r>
      <w:r w:rsidR="00165863">
        <w:rPr>
          <w:rFonts w:ascii="Times New Roman" w:hAnsi="Times New Roman" w:cs="Times New Roman"/>
          <w:szCs w:val="21"/>
        </w:rPr>
        <w:t xml:space="preserve"> and n</w:t>
      </w:r>
      <w:r w:rsidR="00355199" w:rsidRPr="00165863">
        <w:rPr>
          <w:rFonts w:ascii="Times New Roman" w:hAnsi="Times New Roman" w:cs="Times New Roman" w:hint="eastAsia"/>
          <w:szCs w:val="21"/>
        </w:rPr>
        <w:t>ext-generation equipment exceeding 300 million m</w:t>
      </w:r>
      <w:r w:rsidR="00355199" w:rsidRPr="00165863">
        <w:rPr>
          <w:rFonts w:ascii="Times New Roman" w:hAnsi="Times New Roman" w:cs="Times New Roman" w:hint="eastAsia"/>
          <w:szCs w:val="21"/>
        </w:rPr>
        <w:t>²</w:t>
      </w:r>
      <w:r w:rsidR="00355199" w:rsidRPr="00165863">
        <w:rPr>
          <w:rFonts w:ascii="Times New Roman" w:hAnsi="Times New Roman" w:cs="Times New Roman" w:hint="eastAsia"/>
          <w:szCs w:val="21"/>
        </w:rPr>
        <w:t>/year, reaching international leading levels</w:t>
      </w:r>
      <w:r w:rsidR="006F3141">
        <w:rPr>
          <w:rFonts w:ascii="Times New Roman" w:hAnsi="Times New Roman" w:cs="Times New Roman"/>
          <w:szCs w:val="21"/>
        </w:rPr>
        <w:t xml:space="preserve">. </w:t>
      </w:r>
      <w:r w:rsidR="00355199" w:rsidRPr="00916B56">
        <w:rPr>
          <w:rFonts w:ascii="Times New Roman" w:hAnsi="Times New Roman" w:cs="Times New Roman" w:hint="eastAsia"/>
          <w:szCs w:val="21"/>
        </w:rPr>
        <w:t>This provides the Company with significant advanta</w:t>
      </w:r>
      <w:r w:rsidR="00165863">
        <w:rPr>
          <w:rFonts w:ascii="Times New Roman" w:hAnsi="Times New Roman" w:cs="Times New Roman" w:hint="eastAsia"/>
          <w:szCs w:val="21"/>
        </w:rPr>
        <w:t>ges in</w:t>
      </w:r>
      <w:r w:rsidR="00165863">
        <w:rPr>
          <w:rFonts w:ascii="Times New Roman" w:hAnsi="Times New Roman" w:cs="Times New Roman"/>
          <w:szCs w:val="21"/>
        </w:rPr>
        <w:t xml:space="preserve"> </w:t>
      </w:r>
      <w:r w:rsidR="0057269E">
        <w:rPr>
          <w:rFonts w:ascii="Times New Roman" w:hAnsi="Times New Roman" w:cs="Times New Roman"/>
          <w:szCs w:val="21"/>
        </w:rPr>
        <w:t>t</w:t>
      </w:r>
      <w:r w:rsidR="00355199" w:rsidRPr="00165863">
        <w:rPr>
          <w:rFonts w:ascii="Times New Roman" w:hAnsi="Times New Roman" w:cs="Times New Roman" w:hint="eastAsia"/>
          <w:szCs w:val="21"/>
        </w:rPr>
        <w:t>echnology R&amp;D</w:t>
      </w:r>
      <w:r w:rsidR="00165863">
        <w:rPr>
          <w:rFonts w:ascii="Times New Roman" w:hAnsi="Times New Roman" w:cs="Times New Roman" w:hint="eastAsia"/>
          <w:szCs w:val="21"/>
        </w:rPr>
        <w:t>,</w:t>
      </w:r>
      <w:r w:rsidR="00165863">
        <w:rPr>
          <w:rFonts w:ascii="Times New Roman" w:hAnsi="Times New Roman" w:cs="Times New Roman"/>
          <w:szCs w:val="21"/>
        </w:rPr>
        <w:t xml:space="preserve"> </w:t>
      </w:r>
      <w:r w:rsidR="0057269E">
        <w:rPr>
          <w:rFonts w:ascii="Times New Roman" w:hAnsi="Times New Roman" w:cs="Times New Roman"/>
          <w:szCs w:val="21"/>
        </w:rPr>
        <w:t>c</w:t>
      </w:r>
      <w:r w:rsidR="00355199" w:rsidRPr="00165863">
        <w:rPr>
          <w:rFonts w:ascii="Times New Roman" w:hAnsi="Times New Roman" w:cs="Times New Roman" w:hint="eastAsia"/>
          <w:szCs w:val="21"/>
        </w:rPr>
        <w:t>ost control</w:t>
      </w:r>
      <w:r w:rsidR="0057269E">
        <w:rPr>
          <w:rFonts w:ascii="Times New Roman" w:hAnsi="Times New Roman" w:cs="Times New Roman"/>
          <w:szCs w:val="21"/>
        </w:rPr>
        <w:t xml:space="preserve"> and l</w:t>
      </w:r>
      <w:r w:rsidR="00355199" w:rsidRPr="00165863">
        <w:rPr>
          <w:rFonts w:ascii="Times New Roman" w:hAnsi="Times New Roman" w:cs="Times New Roman" w:hint="eastAsia"/>
          <w:szCs w:val="21"/>
        </w:rPr>
        <w:t>ate-mover competitiveness</w:t>
      </w:r>
      <w:r w:rsidR="0057269E">
        <w:rPr>
          <w:rFonts w:ascii="Times New Roman" w:hAnsi="Times New Roman" w:cs="Times New Roman"/>
          <w:szCs w:val="21"/>
        </w:rPr>
        <w:t>.</w:t>
      </w:r>
    </w:p>
    <w:p w14:paraId="7F3EF8EA" w14:textId="77777777" w:rsidR="00355199" w:rsidRPr="00916B56" w:rsidRDefault="00355199"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The Company has also initiated R&amp;D on next-generation equipment with even higher efficiency.</w:t>
      </w:r>
    </w:p>
    <w:p w14:paraId="08EF073D" w14:textId="66401D43" w:rsidR="00355199" w:rsidRPr="0057269E" w:rsidRDefault="00355199" w:rsidP="0057269E">
      <w:pPr>
        <w:spacing w:line="360" w:lineRule="auto"/>
        <w:ind w:firstLineChars="200" w:firstLine="420"/>
        <w:rPr>
          <w:rFonts w:ascii="Times New Roman" w:hAnsi="Times New Roman" w:cs="Times New Roman" w:hint="eastAsia"/>
          <w:szCs w:val="21"/>
        </w:rPr>
      </w:pPr>
      <w:r w:rsidRPr="00916B56">
        <w:rPr>
          <w:rFonts w:ascii="Times New Roman" w:hAnsi="Times New Roman" w:cs="Times New Roman" w:hint="eastAsia"/>
          <w:szCs w:val="21"/>
        </w:rPr>
        <w:t>In separator coating proc</w:t>
      </w:r>
      <w:r w:rsidR="0057269E">
        <w:rPr>
          <w:rFonts w:ascii="Times New Roman" w:hAnsi="Times New Roman" w:cs="Times New Roman" w:hint="eastAsia"/>
          <w:szCs w:val="21"/>
        </w:rPr>
        <w:t xml:space="preserve">essing, the Company is the </w:t>
      </w:r>
      <w:r w:rsidR="0057269E">
        <w:rPr>
          <w:rFonts w:ascii="Times New Roman" w:hAnsi="Times New Roman" w:cs="Times New Roman"/>
          <w:szCs w:val="21"/>
        </w:rPr>
        <w:t>global</w:t>
      </w:r>
      <w:r w:rsidRPr="00916B56">
        <w:rPr>
          <w:rFonts w:ascii="Times New Roman" w:hAnsi="Times New Roman" w:cs="Times New Roman" w:hint="eastAsia"/>
          <w:szCs w:val="21"/>
        </w:rPr>
        <w:t xml:space="preserve"> largest independent coated separator pro</w:t>
      </w:r>
      <w:r w:rsidR="0057269E">
        <w:rPr>
          <w:rFonts w:ascii="Times New Roman" w:hAnsi="Times New Roman" w:cs="Times New Roman" w:hint="eastAsia"/>
          <w:szCs w:val="21"/>
        </w:rPr>
        <w:t>cessor, with</w:t>
      </w:r>
      <w:r w:rsidR="0057269E">
        <w:rPr>
          <w:rFonts w:ascii="Times New Roman" w:hAnsi="Times New Roman" w:cs="Times New Roman"/>
          <w:szCs w:val="21"/>
        </w:rPr>
        <w:t xml:space="preserve"> i</w:t>
      </w:r>
      <w:r w:rsidRPr="0057269E">
        <w:rPr>
          <w:rFonts w:ascii="Times New Roman" w:hAnsi="Times New Roman" w:cs="Times New Roman" w:hint="eastAsia"/>
          <w:szCs w:val="21"/>
        </w:rPr>
        <w:t>ndustry-leading production efficiency</w:t>
      </w:r>
      <w:r w:rsidR="0057269E">
        <w:rPr>
          <w:rFonts w:ascii="Times New Roman" w:hAnsi="Times New Roman" w:cs="Times New Roman" w:hint="eastAsia"/>
          <w:szCs w:val="21"/>
        </w:rPr>
        <w:t xml:space="preserve"> </w:t>
      </w:r>
      <w:r w:rsidR="0057269E">
        <w:rPr>
          <w:rFonts w:ascii="Times New Roman" w:hAnsi="Times New Roman" w:cs="Times New Roman"/>
          <w:szCs w:val="21"/>
        </w:rPr>
        <w:t>and w</w:t>
      </w:r>
      <w:r w:rsidRPr="0057269E">
        <w:rPr>
          <w:rFonts w:ascii="Times New Roman" w:hAnsi="Times New Roman" w:cs="Times New Roman" w:hint="eastAsia"/>
          <w:szCs w:val="21"/>
        </w:rPr>
        <w:t>orld-class automation levels</w:t>
      </w:r>
    </w:p>
    <w:p w14:paraId="363363C5" w14:textId="5FADB41B" w:rsidR="00355199" w:rsidRPr="00916B56" w:rsidRDefault="00355199"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hint="eastAsia"/>
          <w:szCs w:val="21"/>
        </w:rPr>
        <w:t>By leveraging its deep expertise in coating technology and equipment, the Company continuously enhances equipment performance, promotes the localization and self-supply of coating materials and binders, and delivers integrated product solutions to maintain long-term competitive leadership.</w:t>
      </w:r>
    </w:p>
    <w:p w14:paraId="0161F849" w14:textId="18352A06" w:rsidR="00E63A80" w:rsidRPr="00916B56" w:rsidRDefault="00224208"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 xml:space="preserve"> </w:t>
      </w:r>
      <w:r w:rsidR="00E63A80" w:rsidRPr="00916B56">
        <w:rPr>
          <w:rFonts w:ascii="Times New Roman" w:hAnsi="Times New Roman" w:cs="Times New Roman"/>
          <w:b/>
          <w:szCs w:val="21"/>
        </w:rPr>
        <w:t>(2) Anode Materials Business</w:t>
      </w:r>
    </w:p>
    <w:p w14:paraId="267EC0CB" w14:textId="27EDDC4C" w:rsidR="00E63A80" w:rsidRPr="00916B56" w:rsidRDefault="00E63A80" w:rsidP="0057269E">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 xml:space="preserve">The Company has a </w:t>
      </w:r>
      <w:r w:rsidR="00355199" w:rsidRPr="00916B56">
        <w:rPr>
          <w:rFonts w:ascii="Times New Roman" w:hAnsi="Times New Roman" w:cs="Times New Roman" w:hint="eastAsia"/>
          <w:szCs w:val="21"/>
        </w:rPr>
        <w:t xml:space="preserve">highly experienced </w:t>
      </w:r>
      <w:r w:rsidRPr="00916B56">
        <w:rPr>
          <w:rFonts w:ascii="Times New Roman" w:hAnsi="Times New Roman" w:cs="Times New Roman"/>
          <w:szCs w:val="21"/>
        </w:rPr>
        <w:t xml:space="preserve">technical team </w:t>
      </w:r>
      <w:r w:rsidR="00445291" w:rsidRPr="00916B56">
        <w:rPr>
          <w:rFonts w:ascii="Times New Roman" w:hAnsi="Times New Roman" w:cs="Times New Roman" w:hint="eastAsia"/>
          <w:szCs w:val="21"/>
        </w:rPr>
        <w:t xml:space="preserve">specializing in </w:t>
      </w:r>
      <w:r w:rsidRPr="00916B56">
        <w:rPr>
          <w:rFonts w:ascii="Times New Roman" w:hAnsi="Times New Roman" w:cs="Times New Roman"/>
          <w:szCs w:val="21"/>
        </w:rPr>
        <w:t xml:space="preserve">carbon materials, </w:t>
      </w:r>
      <w:r w:rsidR="00445291" w:rsidRPr="00916B56">
        <w:rPr>
          <w:rFonts w:ascii="Times New Roman" w:hAnsi="Times New Roman" w:cs="Times New Roman" w:hint="eastAsia"/>
          <w:szCs w:val="21"/>
        </w:rPr>
        <w:t>with strong</w:t>
      </w:r>
      <w:r w:rsidRPr="00916B56">
        <w:rPr>
          <w:rFonts w:ascii="Times New Roman" w:hAnsi="Times New Roman" w:cs="Times New Roman"/>
          <w:szCs w:val="21"/>
        </w:rPr>
        <w:t xml:space="preserve"> capabilit</w:t>
      </w:r>
      <w:r w:rsidR="00445291" w:rsidRPr="00916B56">
        <w:rPr>
          <w:rFonts w:ascii="Times New Roman" w:hAnsi="Times New Roman" w:cs="Times New Roman" w:hint="eastAsia"/>
          <w:szCs w:val="21"/>
        </w:rPr>
        <w:t>ies</w:t>
      </w:r>
      <w:r w:rsidRPr="00916B56">
        <w:rPr>
          <w:rFonts w:ascii="Times New Roman" w:hAnsi="Times New Roman" w:cs="Times New Roman"/>
          <w:szCs w:val="21"/>
        </w:rPr>
        <w:t xml:space="preserve"> </w:t>
      </w:r>
      <w:r w:rsidR="00224208" w:rsidRPr="00916B56">
        <w:rPr>
          <w:rFonts w:ascii="Times New Roman" w:hAnsi="Times New Roman" w:cs="Times New Roman" w:hint="eastAsia"/>
          <w:szCs w:val="21"/>
        </w:rPr>
        <w:t>in</w:t>
      </w:r>
      <w:r w:rsidRPr="00916B56">
        <w:rPr>
          <w:rFonts w:ascii="Times New Roman" w:hAnsi="Times New Roman" w:cs="Times New Roman"/>
          <w:szCs w:val="21"/>
        </w:rPr>
        <w:t xml:space="preserve"> quickly respond to customers' requirements for different application scenarios and characteristics. The produ</w:t>
      </w:r>
      <w:r w:rsidR="00224208" w:rsidRPr="00916B56">
        <w:rPr>
          <w:rFonts w:ascii="Times New Roman" w:hAnsi="Times New Roman" w:cs="Times New Roman"/>
          <w:szCs w:val="21"/>
        </w:rPr>
        <w:t xml:space="preserve">cts occupy a leading position in </w:t>
      </w:r>
      <w:r w:rsidRPr="00916B56">
        <w:rPr>
          <w:rFonts w:ascii="Times New Roman" w:hAnsi="Times New Roman" w:cs="Times New Roman"/>
          <w:szCs w:val="21"/>
        </w:rPr>
        <w:t xml:space="preserve">global medium </w:t>
      </w:r>
      <w:r w:rsidR="00445291" w:rsidRPr="00916B56">
        <w:rPr>
          <w:rFonts w:ascii="Times New Roman" w:hAnsi="Times New Roman" w:cs="Times New Roman" w:hint="eastAsia"/>
          <w:szCs w:val="21"/>
        </w:rPr>
        <w:t xml:space="preserve">to </w:t>
      </w:r>
      <w:r w:rsidRPr="00916B56">
        <w:rPr>
          <w:rFonts w:ascii="Times New Roman" w:hAnsi="Times New Roman" w:cs="Times New Roman"/>
          <w:szCs w:val="21"/>
        </w:rPr>
        <w:t xml:space="preserve">high-end </w:t>
      </w:r>
      <w:r w:rsidR="00445291" w:rsidRPr="00916B56">
        <w:rPr>
          <w:rFonts w:ascii="Times New Roman" w:hAnsi="Times New Roman" w:cs="Times New Roman" w:hint="eastAsia"/>
          <w:szCs w:val="21"/>
        </w:rPr>
        <w:t xml:space="preserve">markets for </w:t>
      </w:r>
      <w:r w:rsidRPr="00916B56">
        <w:rPr>
          <w:rFonts w:ascii="Times New Roman" w:hAnsi="Times New Roman" w:cs="Times New Roman"/>
          <w:szCs w:val="21"/>
        </w:rPr>
        <w:t>digital and power batter</w:t>
      </w:r>
      <w:r w:rsidR="00445291" w:rsidRPr="00916B56">
        <w:rPr>
          <w:rFonts w:ascii="Times New Roman" w:hAnsi="Times New Roman" w:cs="Times New Roman" w:hint="eastAsia"/>
          <w:szCs w:val="21"/>
        </w:rPr>
        <w:t>ies, characterized by</w:t>
      </w:r>
      <w:r w:rsidR="0057269E">
        <w:rPr>
          <w:rFonts w:ascii="Times New Roman" w:hAnsi="Times New Roman" w:cs="Times New Roman" w:hint="eastAsia"/>
          <w:szCs w:val="21"/>
        </w:rPr>
        <w:t xml:space="preserve"> </w:t>
      </w:r>
      <w:r w:rsidRPr="0057269E">
        <w:rPr>
          <w:rFonts w:ascii="Times New Roman" w:hAnsi="Times New Roman" w:cs="Times New Roman"/>
          <w:szCs w:val="21"/>
        </w:rPr>
        <w:t>high capacity, high compaction density, low expansion, long cycle life</w:t>
      </w:r>
      <w:r w:rsidR="00445291" w:rsidRPr="0057269E">
        <w:rPr>
          <w:rFonts w:ascii="Times New Roman" w:hAnsi="Times New Roman" w:cs="Times New Roman" w:hint="eastAsia"/>
          <w:szCs w:val="21"/>
        </w:rPr>
        <w:t>,</w:t>
      </w:r>
      <w:r w:rsidRPr="0057269E">
        <w:rPr>
          <w:rFonts w:ascii="Times New Roman" w:hAnsi="Times New Roman" w:cs="Times New Roman"/>
          <w:szCs w:val="21"/>
        </w:rPr>
        <w:t xml:space="preserve"> </w:t>
      </w:r>
      <w:r w:rsidR="0057269E">
        <w:rPr>
          <w:rFonts w:ascii="Times New Roman" w:hAnsi="Times New Roman" w:cs="Times New Roman"/>
          <w:szCs w:val="21"/>
        </w:rPr>
        <w:t xml:space="preserve">fast charging. </w:t>
      </w:r>
      <w:proofErr w:type="gramStart"/>
      <w:r w:rsidRPr="00916B56">
        <w:rPr>
          <w:rFonts w:ascii="Times New Roman" w:hAnsi="Times New Roman" w:cs="Times New Roman"/>
          <w:szCs w:val="21"/>
        </w:rPr>
        <w:t>The</w:t>
      </w:r>
      <w:proofErr w:type="gramEnd"/>
      <w:r w:rsidRPr="00916B56">
        <w:rPr>
          <w:rFonts w:ascii="Times New Roman" w:hAnsi="Times New Roman" w:cs="Times New Roman"/>
          <w:szCs w:val="21"/>
        </w:rPr>
        <w:t xml:space="preserve"> Company continues to </w:t>
      </w:r>
      <w:r w:rsidR="00224208" w:rsidRPr="00916B56">
        <w:rPr>
          <w:rFonts w:ascii="Times New Roman" w:hAnsi="Times New Roman" w:cs="Times New Roman" w:hint="eastAsia"/>
          <w:szCs w:val="21"/>
        </w:rPr>
        <w:t>enhance</w:t>
      </w:r>
      <w:r w:rsidR="00445291" w:rsidRPr="00916B56">
        <w:rPr>
          <w:rFonts w:ascii="Times New Roman" w:hAnsi="Times New Roman" w:cs="Times New Roman" w:hint="eastAsia"/>
          <w:szCs w:val="21"/>
        </w:rPr>
        <w:t xml:space="preserve"> competitiveness through ongoing product </w:t>
      </w:r>
      <w:r w:rsidRPr="00916B56">
        <w:rPr>
          <w:rFonts w:ascii="Times New Roman" w:hAnsi="Times New Roman" w:cs="Times New Roman"/>
          <w:szCs w:val="21"/>
        </w:rPr>
        <w:t xml:space="preserve">R&amp;D </w:t>
      </w:r>
      <w:r w:rsidR="00445291" w:rsidRPr="00916B56">
        <w:rPr>
          <w:rFonts w:ascii="Times New Roman" w:hAnsi="Times New Roman" w:cs="Times New Roman" w:hint="eastAsia"/>
          <w:szCs w:val="21"/>
        </w:rPr>
        <w:t xml:space="preserve">and process innovation. </w:t>
      </w:r>
    </w:p>
    <w:p w14:paraId="35233348" w14:textId="2DA06B6B" w:rsidR="0057269E" w:rsidRPr="0057269E" w:rsidRDefault="0057269E" w:rsidP="0057269E">
      <w:pPr>
        <w:spacing w:line="360" w:lineRule="auto"/>
        <w:ind w:firstLineChars="200" w:firstLine="420"/>
        <w:rPr>
          <w:rFonts w:ascii="Times New Roman" w:hAnsi="Times New Roman" w:cs="Times New Roman" w:hint="eastAsia"/>
          <w:szCs w:val="21"/>
        </w:rPr>
      </w:pPr>
      <w:r w:rsidRPr="0057269E">
        <w:rPr>
          <w:rFonts w:ascii="Times New Roman" w:hAnsi="Times New Roman" w:cs="Times New Roman"/>
          <w:szCs w:val="21"/>
        </w:rPr>
        <w:t>The company’s new fast-charging anode products have met the performance requirements for 6C charging. When used in conjunction with self-produced binders, these products can achieve 8–10C fast-charging performance. Relevant products have passed customer certifications from multiple clients and are being shipped in bulk.</w:t>
      </w:r>
    </w:p>
    <w:p w14:paraId="35739F43" w14:textId="54E5F7A2" w:rsidR="0057269E" w:rsidRPr="0057269E" w:rsidRDefault="0057269E" w:rsidP="0057269E">
      <w:pPr>
        <w:spacing w:line="360" w:lineRule="auto"/>
        <w:ind w:firstLineChars="200" w:firstLine="420"/>
        <w:rPr>
          <w:rFonts w:ascii="Times New Roman" w:hAnsi="Times New Roman" w:cs="Times New Roman" w:hint="eastAsia"/>
          <w:szCs w:val="21"/>
        </w:rPr>
      </w:pPr>
      <w:r w:rsidRPr="0057269E">
        <w:rPr>
          <w:rFonts w:ascii="Times New Roman" w:hAnsi="Times New Roman" w:cs="Times New Roman"/>
          <w:szCs w:val="21"/>
        </w:rPr>
        <w:t>Innovative products featuring high capacity and long cycle life have been highly recognized by customers, and the company will actively promote their mass production in the power battery and energy storage sectors. Meanwhile, the company has developed a new generation of high-performance graphite for consumer batteries, which balances capacity, compaction density and fast-charging capabilities.</w:t>
      </w:r>
    </w:p>
    <w:p w14:paraId="7C9A562C" w14:textId="2C3EB81B" w:rsidR="00445291" w:rsidRPr="00916B56" w:rsidRDefault="0057269E" w:rsidP="0057269E">
      <w:pPr>
        <w:spacing w:line="360" w:lineRule="auto"/>
        <w:ind w:firstLineChars="200" w:firstLine="420"/>
        <w:rPr>
          <w:rFonts w:ascii="Times New Roman" w:hAnsi="Times New Roman" w:cs="Times New Roman"/>
          <w:szCs w:val="21"/>
        </w:rPr>
      </w:pPr>
      <w:r w:rsidRPr="0057269E">
        <w:rPr>
          <w:rFonts w:ascii="Times New Roman" w:hAnsi="Times New Roman" w:cs="Times New Roman"/>
          <w:szCs w:val="21"/>
        </w:rPr>
        <w:t>The company boasts industry-leading performance indicators in its comprehensive solutions for biomass graphite, silicon-carbon materials, hard carbon and carbon nanotubes. The developed biomass graphite products exhibit better cycling performance and lower expansion than natural graphite at 45°C, and are expected to deliver a "negative carbon footprint" solution for the graphite anode industry</w:t>
      </w:r>
      <w:r w:rsidR="00445291" w:rsidRPr="00916B56">
        <w:rPr>
          <w:rFonts w:ascii="Times New Roman" w:hAnsi="Times New Roman" w:cs="Times New Roman" w:hint="eastAsia"/>
          <w:szCs w:val="21"/>
        </w:rPr>
        <w:t>.</w:t>
      </w:r>
    </w:p>
    <w:p w14:paraId="394357A9" w14:textId="3C868D6E" w:rsidR="00293209" w:rsidRPr="00916B56" w:rsidRDefault="00224208"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 xml:space="preserve"> (3) Functional Materials</w:t>
      </w:r>
    </w:p>
    <w:p w14:paraId="35E6D40B" w14:textId="2D729F8C" w:rsidR="0057269E" w:rsidRPr="0057269E" w:rsidRDefault="0057269E" w:rsidP="0057269E">
      <w:pPr>
        <w:spacing w:line="360" w:lineRule="auto"/>
        <w:ind w:firstLineChars="200" w:firstLine="420"/>
        <w:rPr>
          <w:rFonts w:ascii="Times New Roman" w:hAnsi="Times New Roman" w:cs="Times New Roman" w:hint="eastAsia"/>
          <w:szCs w:val="21"/>
        </w:rPr>
      </w:pPr>
      <w:r w:rsidRPr="0057269E">
        <w:rPr>
          <w:rFonts w:ascii="Times New Roman" w:hAnsi="Times New Roman" w:cs="Times New Roman"/>
          <w:szCs w:val="21"/>
        </w:rPr>
        <w:t xml:space="preserve">The company has long been engaged in the R&amp;D, iteration and production of functional materials for new energy batteries, with unique insights into production processes, product performance and market demand. It has developed and mass-produced next-generation ceramic materials for ultra-thin separator coatings, including ultra-fine alumina, ultra-fine </w:t>
      </w:r>
      <w:proofErr w:type="spellStart"/>
      <w:r w:rsidRPr="0057269E">
        <w:rPr>
          <w:rFonts w:ascii="Times New Roman" w:hAnsi="Times New Roman" w:cs="Times New Roman"/>
          <w:szCs w:val="21"/>
        </w:rPr>
        <w:t>boehmite</w:t>
      </w:r>
      <w:proofErr w:type="spellEnd"/>
      <w:r w:rsidRPr="0057269E">
        <w:rPr>
          <w:rFonts w:ascii="Times New Roman" w:hAnsi="Times New Roman" w:cs="Times New Roman"/>
          <w:szCs w:val="21"/>
        </w:rPr>
        <w:t xml:space="preserve"> and fibrous </w:t>
      </w:r>
      <w:proofErr w:type="spellStart"/>
      <w:r w:rsidRPr="0057269E">
        <w:rPr>
          <w:rFonts w:ascii="Times New Roman" w:hAnsi="Times New Roman" w:cs="Times New Roman"/>
          <w:szCs w:val="21"/>
        </w:rPr>
        <w:t>boehmite</w:t>
      </w:r>
      <w:proofErr w:type="spellEnd"/>
      <w:r w:rsidRPr="0057269E">
        <w:rPr>
          <w:rFonts w:ascii="Times New Roman" w:hAnsi="Times New Roman" w:cs="Times New Roman"/>
          <w:szCs w:val="21"/>
        </w:rPr>
        <w:t>, enriching the company’s product portfolio and downstream application scenarios.</w:t>
      </w:r>
    </w:p>
    <w:p w14:paraId="736170A7" w14:textId="77777777" w:rsidR="0057269E" w:rsidRPr="0057269E" w:rsidRDefault="0057269E" w:rsidP="0057269E">
      <w:pPr>
        <w:spacing w:line="360" w:lineRule="auto"/>
        <w:ind w:firstLineChars="200" w:firstLine="420"/>
        <w:rPr>
          <w:rFonts w:ascii="Times New Roman" w:hAnsi="Times New Roman" w:cs="Times New Roman"/>
          <w:szCs w:val="21"/>
        </w:rPr>
      </w:pPr>
      <w:r w:rsidRPr="0057269E">
        <w:rPr>
          <w:rFonts w:ascii="Times New Roman" w:hAnsi="Times New Roman" w:cs="Times New Roman"/>
          <w:szCs w:val="21"/>
        </w:rPr>
        <w:t>The company’s lithium battery-grade PVDF boasts leading product performance and market share, with distinct performance advantages in PVDF products dedicated to separator coating and cathode applications. Breakthroughs have been made in ternary binder technology, with product performance comparable to overseas counterparts.</w:t>
      </w:r>
    </w:p>
    <w:p w14:paraId="7CFA0C16" w14:textId="0C5AECD6" w:rsidR="00293209" w:rsidRPr="00916B56" w:rsidRDefault="0057269E" w:rsidP="0057269E">
      <w:pPr>
        <w:spacing w:line="360" w:lineRule="auto"/>
        <w:ind w:firstLineChars="200" w:firstLine="420"/>
        <w:rPr>
          <w:rFonts w:ascii="Times New Roman" w:hAnsi="Times New Roman" w:cs="Times New Roman"/>
          <w:szCs w:val="21"/>
        </w:rPr>
      </w:pPr>
      <w:r w:rsidRPr="0057269E">
        <w:rPr>
          <w:rFonts w:ascii="Times New Roman" w:hAnsi="Times New Roman" w:cs="Times New Roman"/>
          <w:szCs w:val="21"/>
        </w:rPr>
        <w:t xml:space="preserve">The water-based binder jointly developed by the company and its affiliated enterprise </w:t>
      </w:r>
      <w:r w:rsidR="009C7C96">
        <w:rPr>
          <w:rFonts w:ascii="Times New Roman" w:hAnsi="Times New Roman" w:cs="Times New Roman"/>
          <w:szCs w:val="21"/>
        </w:rPr>
        <w:t>Indigo</w:t>
      </w:r>
      <w:r w:rsidRPr="0057269E">
        <w:rPr>
          <w:rFonts w:ascii="Times New Roman" w:hAnsi="Times New Roman" w:cs="Times New Roman"/>
          <w:szCs w:val="21"/>
        </w:rPr>
        <w:t xml:space="preserve"> has significant co</w:t>
      </w:r>
      <w:bookmarkStart w:id="9" w:name="_GoBack"/>
      <w:bookmarkEnd w:id="9"/>
      <w:r w:rsidRPr="0057269E">
        <w:rPr>
          <w:rFonts w:ascii="Times New Roman" w:hAnsi="Times New Roman" w:cs="Times New Roman"/>
          <w:szCs w:val="21"/>
        </w:rPr>
        <w:t>mpetitive advantages in terms of adhesion strength, dosage, heat resistance and electrolyte wettability, effectively enhancing the company’s product competitiveness in the fields of separator coating and anode applications.</w:t>
      </w:r>
    </w:p>
    <w:p w14:paraId="3A3F28A6" w14:textId="77777777" w:rsidR="00E63A80" w:rsidRPr="00916B56" w:rsidRDefault="00896D0C" w:rsidP="00CC71BF">
      <w:pPr>
        <w:spacing w:line="360" w:lineRule="auto"/>
        <w:ind w:firstLineChars="200" w:firstLine="420"/>
        <w:rPr>
          <w:rFonts w:ascii="Times New Roman" w:hAnsi="Times New Roman" w:cs="Times New Roman"/>
          <w:b/>
          <w:szCs w:val="21"/>
        </w:rPr>
      </w:pPr>
      <w:r w:rsidRPr="00916B56">
        <w:rPr>
          <w:rFonts w:ascii="Times New Roman" w:hAnsi="Times New Roman" w:cs="Times New Roman"/>
          <w:b/>
          <w:szCs w:val="21"/>
        </w:rPr>
        <w:t>2. New Energy Automation</w:t>
      </w:r>
      <w:r w:rsidR="00E63A80" w:rsidRPr="00916B56">
        <w:rPr>
          <w:rFonts w:ascii="Times New Roman" w:hAnsi="Times New Roman" w:cs="Times New Roman"/>
          <w:b/>
          <w:szCs w:val="21"/>
        </w:rPr>
        <w:t xml:space="preserve"> Equipment and Services</w:t>
      </w:r>
    </w:p>
    <w:p w14:paraId="24074A2A" w14:textId="5ED018E7"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The Company attaches great importance to equipment R&amp;D and technical reserves, with a product line covering key processes in the front</w:t>
      </w:r>
      <w:r w:rsidR="00702085" w:rsidRPr="00916B56">
        <w:rPr>
          <w:rFonts w:ascii="Times New Roman" w:hAnsi="Times New Roman" w:cs="Times New Roman" w:hint="eastAsia"/>
          <w:szCs w:val="21"/>
        </w:rPr>
        <w:t>-end</w:t>
      </w:r>
      <w:r w:rsidRPr="00916B56">
        <w:rPr>
          <w:rFonts w:ascii="Times New Roman" w:hAnsi="Times New Roman" w:cs="Times New Roman"/>
          <w:szCs w:val="21"/>
        </w:rPr>
        <w:t>, middle</w:t>
      </w:r>
      <w:r w:rsidR="00702085" w:rsidRPr="00916B56">
        <w:rPr>
          <w:rFonts w:ascii="Times New Roman" w:hAnsi="Times New Roman" w:cs="Times New Roman" w:hint="eastAsia"/>
          <w:szCs w:val="21"/>
        </w:rPr>
        <w:t>-section</w:t>
      </w:r>
      <w:r w:rsidRPr="00916B56">
        <w:rPr>
          <w:rFonts w:ascii="Times New Roman" w:hAnsi="Times New Roman" w:cs="Times New Roman"/>
          <w:szCs w:val="21"/>
        </w:rPr>
        <w:t xml:space="preserve"> and back</w:t>
      </w:r>
      <w:r w:rsidR="00702085" w:rsidRPr="00916B56">
        <w:rPr>
          <w:rFonts w:ascii="Times New Roman" w:hAnsi="Times New Roman" w:cs="Times New Roman" w:hint="eastAsia"/>
          <w:szCs w:val="21"/>
        </w:rPr>
        <w:t>-end</w:t>
      </w:r>
      <w:r w:rsidRPr="00916B56">
        <w:rPr>
          <w:rFonts w:ascii="Times New Roman" w:hAnsi="Times New Roman" w:cs="Times New Roman"/>
          <w:szCs w:val="21"/>
        </w:rPr>
        <w:t xml:space="preserve"> sections of battery manufacturing, and </w:t>
      </w:r>
      <w:r w:rsidR="00702085" w:rsidRPr="00916B56">
        <w:rPr>
          <w:rFonts w:ascii="Times New Roman" w:hAnsi="Times New Roman" w:cs="Times New Roman" w:hint="eastAsia"/>
          <w:szCs w:val="21"/>
        </w:rPr>
        <w:t xml:space="preserve">it possesses the capability to provide complete </w:t>
      </w:r>
      <w:r w:rsidRPr="00916B56">
        <w:rPr>
          <w:rFonts w:ascii="Times New Roman" w:hAnsi="Times New Roman" w:cs="Times New Roman"/>
          <w:szCs w:val="21"/>
        </w:rPr>
        <w:t xml:space="preserve">production </w:t>
      </w:r>
      <w:r w:rsidR="00702085" w:rsidRPr="00916B56">
        <w:rPr>
          <w:rFonts w:ascii="Times New Roman" w:hAnsi="Times New Roman" w:cs="Times New Roman" w:hint="eastAsia"/>
          <w:szCs w:val="21"/>
        </w:rPr>
        <w:t xml:space="preserve">line </w:t>
      </w:r>
      <w:r w:rsidRPr="00916B56">
        <w:rPr>
          <w:rFonts w:ascii="Times New Roman" w:hAnsi="Times New Roman" w:cs="Times New Roman"/>
          <w:szCs w:val="21"/>
        </w:rPr>
        <w:t>equipment</w:t>
      </w:r>
      <w:r w:rsidR="00702085" w:rsidRPr="00916B56">
        <w:rPr>
          <w:rFonts w:ascii="Times New Roman" w:hAnsi="Times New Roman" w:cs="Times New Roman" w:hint="eastAsia"/>
          <w:szCs w:val="21"/>
        </w:rPr>
        <w:t xml:space="preserve"> solutions</w:t>
      </w:r>
      <w:r w:rsidRPr="00916B56">
        <w:rPr>
          <w:rFonts w:ascii="Times New Roman" w:hAnsi="Times New Roman" w:cs="Times New Roman"/>
          <w:szCs w:val="21"/>
        </w:rPr>
        <w:t>.</w:t>
      </w:r>
    </w:p>
    <w:p w14:paraId="4F1CFEBD" w14:textId="67C9173D" w:rsidR="00B010C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In terms of front-end lithium battery</w:t>
      </w:r>
      <w:r w:rsidR="00BD3B83" w:rsidRPr="00916B56">
        <w:rPr>
          <w:rFonts w:ascii="Times New Roman" w:hAnsi="Times New Roman" w:cs="Times New Roman" w:hint="eastAsia"/>
          <w:szCs w:val="21"/>
        </w:rPr>
        <w:t xml:space="preserve"> equipment</w:t>
      </w:r>
      <w:r w:rsidRPr="00916B56">
        <w:rPr>
          <w:rFonts w:ascii="Times New Roman" w:hAnsi="Times New Roman" w:cs="Times New Roman"/>
          <w:szCs w:val="21"/>
        </w:rPr>
        <w:t xml:space="preserve">, the </w:t>
      </w:r>
      <w:r w:rsidR="00B010C0" w:rsidRPr="00916B56">
        <w:rPr>
          <w:rFonts w:ascii="Times New Roman" w:hAnsi="Times New Roman" w:cs="Times New Roman" w:hint="eastAsia"/>
          <w:szCs w:val="21"/>
        </w:rPr>
        <w:t xml:space="preserve">Company has </w:t>
      </w:r>
      <w:r w:rsidRPr="00916B56">
        <w:rPr>
          <w:rFonts w:ascii="Times New Roman" w:hAnsi="Times New Roman" w:cs="Times New Roman"/>
          <w:szCs w:val="21"/>
        </w:rPr>
        <w:t xml:space="preserve">independently developed </w:t>
      </w:r>
      <w:r w:rsidR="00B010C0" w:rsidRPr="00916B56">
        <w:rPr>
          <w:rFonts w:ascii="Times New Roman" w:hAnsi="Times New Roman" w:cs="Times New Roman" w:hint="eastAsia"/>
          <w:szCs w:val="21"/>
        </w:rPr>
        <w:t xml:space="preserve">a </w:t>
      </w:r>
      <w:r w:rsidRPr="00916B56">
        <w:rPr>
          <w:rFonts w:ascii="Times New Roman" w:hAnsi="Times New Roman" w:cs="Times New Roman"/>
          <w:szCs w:val="21"/>
        </w:rPr>
        <w:t>high-speed double-sided coating machine adapted to 4.5μm copper foil</w:t>
      </w:r>
      <w:r w:rsidR="00B010C0" w:rsidRPr="00916B56">
        <w:rPr>
          <w:rFonts w:ascii="Times New Roman" w:hAnsi="Times New Roman" w:cs="Times New Roman" w:hint="eastAsia"/>
          <w:szCs w:val="21"/>
        </w:rPr>
        <w:t xml:space="preserve">. This innovation </w:t>
      </w:r>
      <w:r w:rsidRPr="00916B56">
        <w:rPr>
          <w:rFonts w:ascii="Times New Roman" w:hAnsi="Times New Roman" w:cs="Times New Roman"/>
          <w:szCs w:val="21"/>
        </w:rPr>
        <w:t xml:space="preserve">has solved the ultra-thin copper foil coating </w:t>
      </w:r>
      <w:r w:rsidR="00B010C0" w:rsidRPr="00916B56">
        <w:rPr>
          <w:rFonts w:ascii="Times New Roman" w:hAnsi="Times New Roman" w:cs="Times New Roman" w:hint="eastAsia"/>
          <w:szCs w:val="21"/>
        </w:rPr>
        <w:t xml:space="preserve">challenge that had constrained industry development. The equipment has </w:t>
      </w:r>
      <w:r w:rsidRPr="00916B56">
        <w:rPr>
          <w:rFonts w:ascii="Times New Roman" w:hAnsi="Times New Roman" w:cs="Times New Roman"/>
          <w:szCs w:val="21"/>
        </w:rPr>
        <w:t>achieved the first batch delivery in the industry</w:t>
      </w:r>
      <w:r w:rsidR="00B010C0" w:rsidRPr="00916B56">
        <w:rPr>
          <w:rFonts w:ascii="Times New Roman" w:hAnsi="Times New Roman" w:cs="Times New Roman" w:hint="eastAsia"/>
          <w:szCs w:val="21"/>
        </w:rPr>
        <w:t xml:space="preserve"> and demonstrates a </w:t>
      </w:r>
      <w:r w:rsidRPr="00916B56">
        <w:rPr>
          <w:rFonts w:ascii="Times New Roman" w:hAnsi="Times New Roman" w:cs="Times New Roman"/>
          <w:szCs w:val="21"/>
        </w:rPr>
        <w:t>leading technical level</w:t>
      </w:r>
      <w:r w:rsidR="00B010C0" w:rsidRPr="00916B56">
        <w:rPr>
          <w:rFonts w:ascii="Times New Roman" w:hAnsi="Times New Roman" w:cs="Times New Roman" w:hint="eastAsia"/>
          <w:szCs w:val="21"/>
        </w:rPr>
        <w:t xml:space="preserve">. In </w:t>
      </w:r>
      <w:r w:rsidR="00B010C0" w:rsidRPr="00916B56">
        <w:rPr>
          <w:rFonts w:ascii="Times New Roman" w:hAnsi="Times New Roman" w:cs="Times New Roman"/>
          <w:szCs w:val="21"/>
        </w:rPr>
        <w:t>addition</w:t>
      </w:r>
      <w:r w:rsidR="00B010C0" w:rsidRPr="00916B56">
        <w:rPr>
          <w:rFonts w:ascii="Times New Roman" w:hAnsi="Times New Roman" w:cs="Times New Roman" w:hint="eastAsia"/>
          <w:szCs w:val="21"/>
        </w:rPr>
        <w:t>, the Company</w:t>
      </w:r>
      <w:r w:rsidR="00B010C0" w:rsidRPr="00916B56">
        <w:rPr>
          <w:rFonts w:ascii="Times New Roman" w:hAnsi="Times New Roman" w:cs="Times New Roman"/>
          <w:szCs w:val="21"/>
        </w:rPr>
        <w:t>’</w:t>
      </w:r>
      <w:r w:rsidR="00B010C0" w:rsidRPr="00916B56">
        <w:rPr>
          <w:rFonts w:ascii="Times New Roman" w:hAnsi="Times New Roman" w:cs="Times New Roman" w:hint="eastAsia"/>
          <w:szCs w:val="21"/>
        </w:rPr>
        <w:t xml:space="preserve">s </w:t>
      </w:r>
      <w:r w:rsidRPr="00916B56">
        <w:rPr>
          <w:rFonts w:ascii="Times New Roman" w:hAnsi="Times New Roman" w:cs="Times New Roman"/>
          <w:szCs w:val="21"/>
        </w:rPr>
        <w:t xml:space="preserve">full infrared drying technology has been applied in batches. </w:t>
      </w:r>
    </w:p>
    <w:p w14:paraId="1A7DCF25" w14:textId="7A1FB9DC" w:rsidR="00B47619"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In terms of middle-section equipment, the Company's electrolyte injection machines have formed a series of products, covering square aluminum shell and cylindrical batteries</w:t>
      </w:r>
      <w:r w:rsidR="00224208" w:rsidRPr="00916B56">
        <w:rPr>
          <w:rFonts w:ascii="Times New Roman" w:hAnsi="Times New Roman" w:cs="Times New Roman" w:hint="eastAsia"/>
          <w:szCs w:val="21"/>
        </w:rPr>
        <w:t>. These systems</w:t>
      </w:r>
      <w:r w:rsidRPr="00916B56">
        <w:rPr>
          <w:rFonts w:ascii="Times New Roman" w:hAnsi="Times New Roman" w:cs="Times New Roman"/>
          <w:szCs w:val="21"/>
        </w:rPr>
        <w:t xml:space="preserve"> integrate electrolyte injection and standing processes</w:t>
      </w:r>
      <w:r w:rsidR="00B47619" w:rsidRPr="00916B56">
        <w:rPr>
          <w:rFonts w:ascii="Times New Roman" w:hAnsi="Times New Roman" w:cs="Times New Roman" w:hint="eastAsia"/>
          <w:szCs w:val="21"/>
        </w:rPr>
        <w:t>,</w:t>
      </w:r>
      <w:r w:rsidR="00224208" w:rsidRPr="00916B56">
        <w:rPr>
          <w:rFonts w:ascii="Times New Roman" w:hAnsi="Times New Roman" w:cs="Times New Roman"/>
          <w:szCs w:val="21"/>
        </w:rPr>
        <w:t xml:space="preserve"> </w:t>
      </w:r>
      <w:r w:rsidR="00B47619" w:rsidRPr="00916B56">
        <w:rPr>
          <w:rFonts w:ascii="Times New Roman" w:hAnsi="Times New Roman" w:cs="Times New Roman" w:hint="eastAsia"/>
          <w:szCs w:val="21"/>
        </w:rPr>
        <w:t>enabling</w:t>
      </w:r>
      <w:r w:rsidRPr="00916B56">
        <w:rPr>
          <w:rFonts w:ascii="Times New Roman" w:hAnsi="Times New Roman" w:cs="Times New Roman"/>
          <w:szCs w:val="21"/>
        </w:rPr>
        <w:t xml:space="preserve"> precise electrolyte injection under isobaric conditions of 0.1-1MPa, which significantly improves the electrolyte injection accuracy</w:t>
      </w:r>
      <w:r w:rsidR="00B47619" w:rsidRPr="00916B56">
        <w:rPr>
          <w:rFonts w:ascii="Times New Roman" w:hAnsi="Times New Roman" w:cs="Times New Roman" w:hint="eastAsia"/>
          <w:szCs w:val="21"/>
        </w:rPr>
        <w:t xml:space="preserve">. </w:t>
      </w:r>
      <w:r w:rsidR="00224208" w:rsidRPr="00916B56">
        <w:rPr>
          <w:rFonts w:ascii="Times New Roman" w:hAnsi="Times New Roman" w:cs="Times New Roman" w:hint="eastAsia"/>
          <w:szCs w:val="21"/>
        </w:rPr>
        <w:t>Furthermore</w:t>
      </w:r>
      <w:r w:rsidR="00224208" w:rsidRPr="00916B56">
        <w:rPr>
          <w:rFonts w:ascii="Times New Roman" w:hAnsi="Times New Roman" w:cs="Times New Roman"/>
          <w:szCs w:val="21"/>
        </w:rPr>
        <w:t xml:space="preserve">, </w:t>
      </w:r>
      <w:r w:rsidRPr="00916B56">
        <w:rPr>
          <w:rFonts w:ascii="Times New Roman" w:hAnsi="Times New Roman" w:cs="Times New Roman"/>
          <w:szCs w:val="21"/>
        </w:rPr>
        <w:t>the innovative layout optimizes</w:t>
      </w:r>
      <w:r w:rsidR="00224208" w:rsidRPr="00916B56">
        <w:rPr>
          <w:rFonts w:ascii="Times New Roman" w:hAnsi="Times New Roman" w:cs="Times New Roman"/>
          <w:szCs w:val="21"/>
        </w:rPr>
        <w:t xml:space="preserve"> space utilization </w:t>
      </w:r>
      <w:r w:rsidRPr="00916B56">
        <w:rPr>
          <w:rFonts w:ascii="Times New Roman" w:hAnsi="Times New Roman" w:cs="Times New Roman"/>
          <w:szCs w:val="21"/>
        </w:rPr>
        <w:t xml:space="preserve">and improves production capacity efficiency per unit area. </w:t>
      </w:r>
    </w:p>
    <w:p w14:paraId="46B4E946" w14:textId="2D850DE9"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In terms of back-end equipment, compared with the traditional AC formation and grading equipment, the Company's new</w:t>
      </w:r>
      <w:r w:rsidR="00B47619" w:rsidRPr="00916B56">
        <w:rPr>
          <w:rFonts w:ascii="Times New Roman" w:hAnsi="Times New Roman" w:cs="Times New Roman" w:hint="eastAsia"/>
          <w:szCs w:val="21"/>
        </w:rPr>
        <w:t>ly developed</w:t>
      </w:r>
      <w:r w:rsidRPr="00916B56">
        <w:rPr>
          <w:rFonts w:ascii="Times New Roman" w:hAnsi="Times New Roman" w:cs="Times New Roman"/>
          <w:szCs w:val="21"/>
        </w:rPr>
        <w:t xml:space="preserve"> medium-voltage DC formation and grading equipment reduces the AC-DC conversion process</w:t>
      </w:r>
      <w:r w:rsidR="00B47619" w:rsidRPr="00916B56">
        <w:rPr>
          <w:rFonts w:ascii="Times New Roman" w:hAnsi="Times New Roman" w:cs="Times New Roman" w:hint="eastAsia"/>
          <w:szCs w:val="21"/>
        </w:rPr>
        <w:t>. This reduces</w:t>
      </w:r>
      <w:r w:rsidRPr="00916B56">
        <w:rPr>
          <w:rFonts w:ascii="Times New Roman" w:hAnsi="Times New Roman" w:cs="Times New Roman"/>
          <w:szCs w:val="21"/>
        </w:rPr>
        <w:t xml:space="preserve"> heat generation and energy loss </w:t>
      </w:r>
      <w:r w:rsidR="00B47619" w:rsidRPr="00916B56">
        <w:rPr>
          <w:rFonts w:ascii="Times New Roman" w:hAnsi="Times New Roman" w:cs="Times New Roman" w:hint="eastAsia"/>
          <w:szCs w:val="21"/>
        </w:rPr>
        <w:t xml:space="preserve">during </w:t>
      </w:r>
      <w:r w:rsidRPr="00916B56">
        <w:rPr>
          <w:rFonts w:ascii="Times New Roman" w:hAnsi="Times New Roman" w:cs="Times New Roman"/>
          <w:szCs w:val="21"/>
        </w:rPr>
        <w:t>the formation and grading process</w:t>
      </w:r>
      <w:r w:rsidR="00B47619" w:rsidRPr="00916B56">
        <w:rPr>
          <w:rFonts w:ascii="Times New Roman" w:hAnsi="Times New Roman" w:cs="Times New Roman" w:hint="eastAsia"/>
          <w:szCs w:val="21"/>
        </w:rPr>
        <w:t>. Moreover, the system can be integrated</w:t>
      </w:r>
      <w:r w:rsidRPr="00916B56">
        <w:rPr>
          <w:rFonts w:ascii="Times New Roman" w:hAnsi="Times New Roman" w:cs="Times New Roman"/>
          <w:szCs w:val="21"/>
        </w:rPr>
        <w:t xml:space="preserve">, with customers' energy storage products to </w:t>
      </w:r>
      <w:r w:rsidR="00B47619" w:rsidRPr="00916B56">
        <w:rPr>
          <w:rFonts w:ascii="Times New Roman" w:hAnsi="Times New Roman" w:cs="Times New Roman" w:hint="eastAsia"/>
          <w:szCs w:val="21"/>
        </w:rPr>
        <w:t xml:space="preserve">enable energy recycling </w:t>
      </w:r>
      <w:r w:rsidRPr="00916B56">
        <w:rPr>
          <w:rFonts w:ascii="Times New Roman" w:hAnsi="Times New Roman" w:cs="Times New Roman"/>
          <w:szCs w:val="21"/>
        </w:rPr>
        <w:t>greatly reducing energy consumption.</w:t>
      </w:r>
    </w:p>
    <w:p w14:paraId="25660F3A" w14:textId="246681F9" w:rsidR="00E63A80" w:rsidRPr="00916B56" w:rsidRDefault="0057269E" w:rsidP="0057269E">
      <w:pPr>
        <w:spacing w:line="360" w:lineRule="auto"/>
        <w:ind w:firstLineChars="200" w:firstLine="420"/>
        <w:rPr>
          <w:rFonts w:ascii="Times New Roman" w:hAnsi="Times New Roman" w:cs="Times New Roman"/>
          <w:szCs w:val="21"/>
        </w:rPr>
      </w:pPr>
      <w:r w:rsidRPr="0057269E">
        <w:rPr>
          <w:rFonts w:ascii="Times New Roman" w:hAnsi="Times New Roman" w:cs="Times New Roman"/>
          <w:szCs w:val="21"/>
        </w:rPr>
        <w:t>In terms of lithium battery material equipment, the self-developed base film production equipment and separator coating equipment feature independent controllability, short delivery time, low cost and high commissioning response efficiency.</w:t>
      </w:r>
      <w:r>
        <w:rPr>
          <w:rFonts w:ascii="Times New Roman" w:hAnsi="Times New Roman" w:cs="Times New Roman"/>
          <w:szCs w:val="21"/>
        </w:rPr>
        <w:t xml:space="preserve"> </w:t>
      </w:r>
      <w:r w:rsidRPr="0057269E">
        <w:rPr>
          <w:rFonts w:ascii="Times New Roman" w:hAnsi="Times New Roman" w:cs="Times New Roman"/>
          <w:szCs w:val="21"/>
        </w:rPr>
        <w:t>Fluidized beds for CVD silicon-carbon anodes and composite current collector equipment have been developed, with continuous process and equipment improvements made in line with iterative upgrades of materials.</w:t>
      </w:r>
      <w:r>
        <w:rPr>
          <w:rFonts w:ascii="Times New Roman" w:hAnsi="Times New Roman" w:cs="Times New Roman"/>
          <w:szCs w:val="21"/>
        </w:rPr>
        <w:t xml:space="preserve"> M</w:t>
      </w:r>
      <w:r w:rsidRPr="0057269E">
        <w:rPr>
          <w:rFonts w:ascii="Times New Roman" w:hAnsi="Times New Roman" w:cs="Times New Roman"/>
          <w:szCs w:val="21"/>
        </w:rPr>
        <w:t>ature technological solutions will be adopted to support continuous cost reduction at the material end.</w:t>
      </w:r>
    </w:p>
    <w:p w14:paraId="5762F405" w14:textId="67B8843C" w:rsidR="00E63A80" w:rsidRPr="00916B56" w:rsidRDefault="00E63A80" w:rsidP="00CC71BF">
      <w:pPr>
        <w:spacing w:line="360" w:lineRule="auto"/>
        <w:ind w:firstLineChars="200" w:firstLine="420"/>
        <w:rPr>
          <w:rFonts w:ascii="Times New Roman" w:hAnsi="Times New Roman" w:cs="Times New Roman"/>
          <w:szCs w:val="21"/>
        </w:rPr>
      </w:pPr>
      <w:r w:rsidRPr="00916B56">
        <w:rPr>
          <w:rFonts w:ascii="Times New Roman" w:hAnsi="Times New Roman" w:cs="Times New Roman"/>
          <w:szCs w:val="21"/>
        </w:rPr>
        <w:t>In addition, based on the technical and experience accumulation in the field of lithium battery equipment, the Company</w:t>
      </w:r>
      <w:r w:rsidR="00F07645" w:rsidRPr="00916B56">
        <w:rPr>
          <w:rFonts w:ascii="Times New Roman" w:hAnsi="Times New Roman" w:cs="Times New Roman"/>
          <w:szCs w:val="21"/>
        </w:rPr>
        <w:t xml:space="preserve"> is actively expanding into other renewable energy sectors. This includes developing hydrogen production solutions and perovskite photovoltaic equipment, creating a robust and diversified technological reserve system.</w:t>
      </w:r>
      <w:r w:rsidR="00F07645" w:rsidRPr="00916B56">
        <w:rPr>
          <w:rFonts w:ascii="Times New Roman" w:hAnsi="Times New Roman" w:cs="Times New Roman" w:hint="eastAsia"/>
          <w:szCs w:val="21"/>
        </w:rPr>
        <w:t xml:space="preserve"> </w:t>
      </w:r>
    </w:p>
    <w:p w14:paraId="5F1BA20F" w14:textId="77777777" w:rsidR="00915114" w:rsidRPr="00916B56" w:rsidRDefault="00915114" w:rsidP="00915114">
      <w:pPr>
        <w:keepNext/>
        <w:keepLines/>
        <w:numPr>
          <w:ilvl w:val="1"/>
          <w:numId w:val="1"/>
        </w:numPr>
        <w:spacing w:before="60" w:after="60"/>
        <w:ind w:left="498" w:hangingChars="236" w:hanging="498"/>
        <w:outlineLvl w:val="1"/>
        <w:rPr>
          <w:rFonts w:ascii="Times New Roman" w:eastAsia="宋体" w:hAnsi="Times New Roman" w:cs="Times New Roman"/>
          <w:b/>
          <w:bCs/>
          <w:szCs w:val="21"/>
          <w:lang w:val="en"/>
        </w:rPr>
      </w:pPr>
      <w:r w:rsidRPr="00916B56">
        <w:rPr>
          <w:rFonts w:ascii="Times New Roman" w:eastAsia="宋体" w:hAnsi="Times New Roman" w:cs="Times New Roman"/>
          <w:b/>
          <w:bCs/>
          <w:szCs w:val="21"/>
          <w:lang w:val="en"/>
        </w:rPr>
        <w:t>Shareholdings of the Top Ten Shareholders</w:t>
      </w:r>
    </w:p>
    <w:tbl>
      <w:tblPr>
        <w:tblStyle w:val="g1"/>
        <w:tblW w:w="93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656"/>
        <w:gridCol w:w="1559"/>
        <w:gridCol w:w="1134"/>
        <w:gridCol w:w="993"/>
        <w:gridCol w:w="850"/>
        <w:gridCol w:w="1276"/>
      </w:tblGrid>
      <w:tr w:rsidR="00FD0F1A" w:rsidRPr="00916B56" w14:paraId="22DA7E6A" w14:textId="77777777" w:rsidTr="0079560C">
        <w:trPr>
          <w:cantSplit/>
          <w:trHeight w:val="305"/>
        </w:trPr>
        <w:tc>
          <w:tcPr>
            <w:tcW w:w="9385" w:type="dxa"/>
            <w:gridSpan w:val="7"/>
            <w:vAlign w:val="center"/>
          </w:tcPr>
          <w:p w14:paraId="42250FC3" w14:textId="77777777" w:rsidR="00915114" w:rsidRPr="00916B56" w:rsidRDefault="00DD7339" w:rsidP="00915114">
            <w:pPr>
              <w:jc w:val="center"/>
              <w:rPr>
                <w:rFonts w:ascii="Times New Roman" w:hAnsi="Times New Roman"/>
                <w:sz w:val="21"/>
                <w:szCs w:val="21"/>
              </w:rPr>
            </w:pPr>
            <w:bookmarkStart w:id="10" w:name="_Hlk199343731"/>
            <w:r w:rsidRPr="00916B56">
              <w:rPr>
                <w:rFonts w:ascii="Times New Roman" w:hAnsi="Times New Roman"/>
                <w:sz w:val="21"/>
                <w:szCs w:val="21"/>
              </w:rPr>
              <w:t>Shareholdings of the Top Ten S</w:t>
            </w:r>
            <w:r w:rsidR="00915114" w:rsidRPr="00916B56">
              <w:rPr>
                <w:rFonts w:ascii="Times New Roman" w:hAnsi="Times New Roman"/>
                <w:sz w:val="21"/>
                <w:szCs w:val="21"/>
              </w:rPr>
              <w:t>hareholders</w:t>
            </w:r>
            <w:r w:rsidRPr="00916B56">
              <w:rPr>
                <w:rFonts w:ascii="Times New Roman" w:hAnsi="Times New Roman"/>
                <w:sz w:val="21"/>
                <w:szCs w:val="21"/>
              </w:rPr>
              <w:t xml:space="preserve"> </w:t>
            </w:r>
          </w:p>
        </w:tc>
      </w:tr>
      <w:tr w:rsidR="00FD0F1A" w:rsidRPr="00916B56" w14:paraId="1AE27086" w14:textId="77777777" w:rsidTr="00A62A32">
        <w:trPr>
          <w:cantSplit/>
          <w:trHeight w:val="305"/>
        </w:trPr>
        <w:tc>
          <w:tcPr>
            <w:tcW w:w="1917" w:type="dxa"/>
            <w:vMerge w:val="restart"/>
            <w:vAlign w:val="center"/>
          </w:tcPr>
          <w:p w14:paraId="3330626E" w14:textId="77777777" w:rsidR="00915114" w:rsidRPr="00916B56" w:rsidRDefault="00915114" w:rsidP="00915114">
            <w:pPr>
              <w:jc w:val="center"/>
              <w:rPr>
                <w:rFonts w:ascii="Times New Roman" w:hAnsi="Times New Roman"/>
                <w:sz w:val="21"/>
                <w:szCs w:val="21"/>
              </w:rPr>
            </w:pPr>
            <w:r w:rsidRPr="00916B56">
              <w:rPr>
                <w:rFonts w:ascii="Times New Roman" w:hAnsi="Times New Roman"/>
                <w:sz w:val="21"/>
                <w:szCs w:val="21"/>
              </w:rPr>
              <w:t>Shareholder n</w:t>
            </w:r>
            <w:r w:rsidR="00DD7339" w:rsidRPr="00916B56">
              <w:rPr>
                <w:rFonts w:ascii="Times New Roman" w:hAnsi="Times New Roman"/>
                <w:sz w:val="21"/>
                <w:szCs w:val="21"/>
              </w:rPr>
              <w:t>\N</w:t>
            </w:r>
            <w:r w:rsidRPr="00916B56">
              <w:rPr>
                <w:rFonts w:ascii="Times New Roman" w:hAnsi="Times New Roman"/>
                <w:sz w:val="21"/>
                <w:szCs w:val="21"/>
              </w:rPr>
              <w:t>ame</w:t>
            </w:r>
          </w:p>
          <w:p w14:paraId="623CD918" w14:textId="77777777" w:rsidR="00915114" w:rsidRPr="00916B56" w:rsidRDefault="00915114" w:rsidP="00915114">
            <w:pPr>
              <w:jc w:val="center"/>
              <w:rPr>
                <w:rFonts w:ascii="Times New Roman" w:hAnsi="Times New Roman"/>
                <w:sz w:val="21"/>
                <w:szCs w:val="21"/>
              </w:rPr>
            </w:pPr>
            <w:r w:rsidRPr="00916B56">
              <w:rPr>
                <w:rFonts w:ascii="Times New Roman" w:hAnsi="Times New Roman"/>
                <w:sz w:val="21"/>
                <w:szCs w:val="21"/>
              </w:rPr>
              <w:t>(full name)</w:t>
            </w:r>
          </w:p>
        </w:tc>
        <w:tc>
          <w:tcPr>
            <w:tcW w:w="1656" w:type="dxa"/>
            <w:vMerge w:val="restart"/>
            <w:vAlign w:val="center"/>
          </w:tcPr>
          <w:p w14:paraId="53616454" w14:textId="77777777" w:rsidR="00915114" w:rsidRPr="00916B56" w:rsidRDefault="00DD7339" w:rsidP="00915114">
            <w:pPr>
              <w:kinsoku w:val="0"/>
              <w:overflowPunct w:val="0"/>
              <w:autoSpaceDE w:val="0"/>
              <w:autoSpaceDN w:val="0"/>
              <w:adjustRightInd w:val="0"/>
              <w:snapToGrid w:val="0"/>
              <w:jc w:val="center"/>
              <w:rPr>
                <w:rFonts w:ascii="Times New Roman" w:hAnsi="Times New Roman"/>
                <w:sz w:val="21"/>
                <w:szCs w:val="21"/>
              </w:rPr>
            </w:pPr>
            <w:r w:rsidRPr="00916B56">
              <w:rPr>
                <w:rFonts w:ascii="Times New Roman" w:hAnsi="Times New Roman"/>
                <w:sz w:val="21"/>
                <w:szCs w:val="21"/>
              </w:rPr>
              <w:t>Increase or D</w:t>
            </w:r>
            <w:r w:rsidR="00915114" w:rsidRPr="00916B56">
              <w:rPr>
                <w:rFonts w:ascii="Times New Roman" w:hAnsi="Times New Roman"/>
                <w:sz w:val="21"/>
                <w:szCs w:val="21"/>
              </w:rPr>
              <w:t xml:space="preserve">ecrease </w:t>
            </w:r>
            <w:r w:rsidRPr="00916B56">
              <w:rPr>
                <w:rFonts w:ascii="Times New Roman" w:hAnsi="Times New Roman"/>
                <w:sz w:val="21"/>
                <w:szCs w:val="21"/>
              </w:rPr>
              <w:t>during the Reporting P</w:t>
            </w:r>
            <w:r w:rsidR="00915114" w:rsidRPr="00916B56">
              <w:rPr>
                <w:rFonts w:ascii="Times New Roman" w:hAnsi="Times New Roman"/>
                <w:sz w:val="21"/>
                <w:szCs w:val="21"/>
              </w:rPr>
              <w:t>eriod</w:t>
            </w:r>
          </w:p>
        </w:tc>
        <w:tc>
          <w:tcPr>
            <w:tcW w:w="1559" w:type="dxa"/>
            <w:vMerge w:val="restart"/>
            <w:vAlign w:val="center"/>
          </w:tcPr>
          <w:p w14:paraId="5A52D8F5" w14:textId="77777777" w:rsidR="00915114" w:rsidRPr="00916B56" w:rsidRDefault="00DD7339" w:rsidP="00DD7339">
            <w:pPr>
              <w:kinsoku w:val="0"/>
              <w:wordWrap w:val="0"/>
              <w:overflowPunct w:val="0"/>
              <w:autoSpaceDE w:val="0"/>
              <w:autoSpaceDN w:val="0"/>
              <w:adjustRightInd w:val="0"/>
              <w:snapToGrid w:val="0"/>
              <w:jc w:val="center"/>
              <w:rPr>
                <w:rFonts w:ascii="Times New Roman" w:hAnsi="Times New Roman"/>
                <w:sz w:val="21"/>
                <w:szCs w:val="21"/>
              </w:rPr>
            </w:pPr>
            <w:r w:rsidRPr="00916B56">
              <w:rPr>
                <w:rFonts w:ascii="Times New Roman" w:hAnsi="Times New Roman"/>
                <w:sz w:val="21"/>
                <w:szCs w:val="21"/>
              </w:rPr>
              <w:t>Number of S</w:t>
            </w:r>
            <w:r w:rsidR="00915114" w:rsidRPr="00916B56">
              <w:rPr>
                <w:rFonts w:ascii="Times New Roman" w:hAnsi="Times New Roman"/>
                <w:sz w:val="21"/>
                <w:szCs w:val="21"/>
              </w:rPr>
              <w:t xml:space="preserve">hares held at the </w:t>
            </w:r>
            <w:r w:rsidRPr="00916B56">
              <w:rPr>
                <w:rFonts w:ascii="Times New Roman" w:hAnsi="Times New Roman"/>
                <w:sz w:val="21"/>
                <w:szCs w:val="21"/>
              </w:rPr>
              <w:t>P</w:t>
            </w:r>
            <w:r w:rsidR="00915114" w:rsidRPr="00916B56">
              <w:rPr>
                <w:rFonts w:ascii="Times New Roman" w:hAnsi="Times New Roman"/>
                <w:sz w:val="21"/>
                <w:szCs w:val="21"/>
              </w:rPr>
              <w:t>eriod</w:t>
            </w:r>
            <w:r w:rsidR="003F2855" w:rsidRPr="00916B56">
              <w:rPr>
                <w:rFonts w:ascii="Times New Roman" w:hAnsi="Times New Roman"/>
                <w:sz w:val="21"/>
                <w:szCs w:val="21"/>
              </w:rPr>
              <w:t>-End</w:t>
            </w:r>
          </w:p>
        </w:tc>
        <w:tc>
          <w:tcPr>
            <w:tcW w:w="1134" w:type="dxa"/>
            <w:vMerge w:val="restart"/>
            <w:vAlign w:val="center"/>
          </w:tcPr>
          <w:p w14:paraId="375A252B" w14:textId="77777777" w:rsidR="00915114" w:rsidRPr="00916B56" w:rsidRDefault="003F2855" w:rsidP="00DD7339">
            <w:pPr>
              <w:kinsoku w:val="0"/>
              <w:wordWrap w:val="0"/>
              <w:overflowPunct w:val="0"/>
              <w:autoSpaceDE w:val="0"/>
              <w:autoSpaceDN w:val="0"/>
              <w:adjustRightInd w:val="0"/>
              <w:snapToGrid w:val="0"/>
              <w:jc w:val="center"/>
              <w:rPr>
                <w:rFonts w:ascii="Times New Roman" w:hAnsi="Times New Roman"/>
                <w:sz w:val="21"/>
                <w:szCs w:val="21"/>
              </w:rPr>
            </w:pPr>
            <w:r w:rsidRPr="00916B56">
              <w:rPr>
                <w:rFonts w:ascii="Times New Roman" w:hAnsi="Times New Roman"/>
                <w:sz w:val="21"/>
                <w:szCs w:val="21"/>
              </w:rPr>
              <w:t>Shareholding Ratio</w:t>
            </w:r>
            <w:r w:rsidR="00915114" w:rsidRPr="00916B56">
              <w:rPr>
                <w:rFonts w:ascii="Times New Roman" w:hAnsi="Times New Roman"/>
                <w:sz w:val="21"/>
                <w:szCs w:val="21"/>
              </w:rPr>
              <w:t>(%)</w:t>
            </w:r>
          </w:p>
        </w:tc>
        <w:tc>
          <w:tcPr>
            <w:tcW w:w="993" w:type="dxa"/>
            <w:vMerge w:val="restart"/>
            <w:vAlign w:val="center"/>
          </w:tcPr>
          <w:p w14:paraId="692D5123" w14:textId="1DF31A4F" w:rsidR="003E2E3B" w:rsidRPr="00916B56" w:rsidRDefault="003E2E3B" w:rsidP="003F2855">
            <w:pPr>
              <w:kinsoku w:val="0"/>
              <w:wordWrap w:val="0"/>
              <w:overflowPunct w:val="0"/>
              <w:autoSpaceDE w:val="0"/>
              <w:autoSpaceDN w:val="0"/>
              <w:adjustRightInd w:val="0"/>
              <w:snapToGrid w:val="0"/>
              <w:rPr>
                <w:rFonts w:ascii="Times New Roman" w:hAnsi="Times New Roman"/>
                <w:bCs/>
                <w:sz w:val="21"/>
                <w:szCs w:val="21"/>
              </w:rPr>
            </w:pPr>
            <w:r w:rsidRPr="00916B56">
              <w:rPr>
                <w:rFonts w:ascii="Times New Roman" w:hAnsi="Times New Roman"/>
                <w:bCs/>
                <w:sz w:val="21"/>
                <w:szCs w:val="21"/>
                <w:lang w:val="en-US"/>
              </w:rPr>
              <w:t>Restricted Shares</w:t>
            </w:r>
          </w:p>
        </w:tc>
        <w:tc>
          <w:tcPr>
            <w:tcW w:w="2126" w:type="dxa"/>
            <w:gridSpan w:val="2"/>
            <w:vAlign w:val="center"/>
          </w:tcPr>
          <w:p w14:paraId="0A8E9478" w14:textId="472ACDD4" w:rsidR="003E2E3B" w:rsidRPr="00916B56" w:rsidRDefault="003E2E3B" w:rsidP="00915114">
            <w:pPr>
              <w:jc w:val="center"/>
              <w:rPr>
                <w:rFonts w:ascii="Times New Roman" w:hAnsi="Times New Roman"/>
                <w:sz w:val="21"/>
                <w:szCs w:val="21"/>
              </w:rPr>
            </w:pPr>
            <w:r w:rsidRPr="00916B56">
              <w:rPr>
                <w:rFonts w:ascii="Times New Roman" w:hAnsi="Times New Roman"/>
                <w:sz w:val="21"/>
                <w:szCs w:val="21"/>
                <w:lang w:val="en-US"/>
              </w:rPr>
              <w:t>Shares Pledged, Marked, or Frozen</w:t>
            </w:r>
          </w:p>
        </w:tc>
      </w:tr>
      <w:tr w:rsidR="00FD0F1A" w:rsidRPr="00916B56" w14:paraId="22DE1087" w14:textId="77777777" w:rsidTr="00A62A32">
        <w:trPr>
          <w:cantSplit/>
          <w:trHeight w:val="305"/>
        </w:trPr>
        <w:tc>
          <w:tcPr>
            <w:tcW w:w="1917" w:type="dxa"/>
            <w:vMerge/>
            <w:tcBorders>
              <w:bottom w:val="single" w:sz="4" w:space="0" w:color="auto"/>
            </w:tcBorders>
            <w:vAlign w:val="center"/>
          </w:tcPr>
          <w:p w14:paraId="7C038F9B" w14:textId="77777777" w:rsidR="00915114" w:rsidRPr="00916B56" w:rsidRDefault="00915114" w:rsidP="00915114">
            <w:pPr>
              <w:jc w:val="center"/>
              <w:rPr>
                <w:rFonts w:ascii="Times New Roman" w:hAnsi="Times New Roman"/>
                <w:sz w:val="21"/>
                <w:szCs w:val="21"/>
              </w:rPr>
            </w:pPr>
          </w:p>
        </w:tc>
        <w:tc>
          <w:tcPr>
            <w:tcW w:w="1656" w:type="dxa"/>
            <w:vMerge/>
            <w:tcBorders>
              <w:bottom w:val="single" w:sz="4" w:space="0" w:color="auto"/>
            </w:tcBorders>
            <w:vAlign w:val="center"/>
          </w:tcPr>
          <w:p w14:paraId="2FA91FBA" w14:textId="77777777" w:rsidR="00915114" w:rsidRPr="00916B56" w:rsidRDefault="00915114" w:rsidP="00915114">
            <w:pPr>
              <w:jc w:val="center"/>
              <w:rPr>
                <w:rFonts w:ascii="Times New Roman" w:hAnsi="Times New Roman"/>
                <w:sz w:val="21"/>
                <w:szCs w:val="21"/>
              </w:rPr>
            </w:pPr>
          </w:p>
        </w:tc>
        <w:tc>
          <w:tcPr>
            <w:tcW w:w="1559" w:type="dxa"/>
            <w:vMerge/>
            <w:tcBorders>
              <w:bottom w:val="single" w:sz="4" w:space="0" w:color="auto"/>
            </w:tcBorders>
            <w:vAlign w:val="center"/>
          </w:tcPr>
          <w:p w14:paraId="0632E423" w14:textId="77777777" w:rsidR="00915114" w:rsidRPr="00916B56" w:rsidRDefault="00915114" w:rsidP="00915114">
            <w:pPr>
              <w:jc w:val="center"/>
              <w:rPr>
                <w:rFonts w:ascii="Times New Roman" w:hAnsi="Times New Roman"/>
                <w:sz w:val="21"/>
                <w:szCs w:val="21"/>
              </w:rPr>
            </w:pPr>
          </w:p>
        </w:tc>
        <w:tc>
          <w:tcPr>
            <w:tcW w:w="1134" w:type="dxa"/>
            <w:vMerge/>
            <w:tcBorders>
              <w:bottom w:val="single" w:sz="4" w:space="0" w:color="auto"/>
            </w:tcBorders>
            <w:vAlign w:val="center"/>
          </w:tcPr>
          <w:p w14:paraId="6966C3B7" w14:textId="77777777" w:rsidR="00915114" w:rsidRPr="00916B56" w:rsidRDefault="00915114" w:rsidP="00915114">
            <w:pPr>
              <w:jc w:val="center"/>
              <w:rPr>
                <w:rFonts w:ascii="Times New Roman" w:hAnsi="Times New Roman"/>
                <w:sz w:val="21"/>
                <w:szCs w:val="21"/>
              </w:rPr>
            </w:pPr>
          </w:p>
        </w:tc>
        <w:tc>
          <w:tcPr>
            <w:tcW w:w="993" w:type="dxa"/>
            <w:vMerge/>
            <w:tcBorders>
              <w:bottom w:val="single" w:sz="4" w:space="0" w:color="auto"/>
            </w:tcBorders>
            <w:vAlign w:val="center"/>
          </w:tcPr>
          <w:p w14:paraId="266F3BBE" w14:textId="77777777" w:rsidR="00915114" w:rsidRPr="00916B56" w:rsidRDefault="00915114" w:rsidP="00915114">
            <w:pPr>
              <w:jc w:val="center"/>
              <w:rPr>
                <w:rFonts w:ascii="Times New Roman" w:hAnsi="Times New Roman"/>
                <w:sz w:val="21"/>
                <w:szCs w:val="21"/>
              </w:rPr>
            </w:pPr>
          </w:p>
        </w:tc>
        <w:tc>
          <w:tcPr>
            <w:tcW w:w="850" w:type="dxa"/>
            <w:tcBorders>
              <w:bottom w:val="single" w:sz="4" w:space="0" w:color="auto"/>
            </w:tcBorders>
            <w:vAlign w:val="center"/>
          </w:tcPr>
          <w:p w14:paraId="1453AFF5" w14:textId="77777777" w:rsidR="00915114" w:rsidRPr="00916B56" w:rsidRDefault="00915114" w:rsidP="00915114">
            <w:pPr>
              <w:jc w:val="center"/>
              <w:rPr>
                <w:rFonts w:ascii="Times New Roman" w:hAnsi="Times New Roman"/>
                <w:sz w:val="21"/>
                <w:szCs w:val="21"/>
              </w:rPr>
            </w:pPr>
            <w:r w:rsidRPr="00916B56">
              <w:rPr>
                <w:rFonts w:ascii="Times New Roman" w:hAnsi="Times New Roman"/>
                <w:sz w:val="21"/>
                <w:szCs w:val="21"/>
              </w:rPr>
              <w:t>Share Status</w:t>
            </w:r>
          </w:p>
        </w:tc>
        <w:tc>
          <w:tcPr>
            <w:tcW w:w="1276" w:type="dxa"/>
            <w:tcBorders>
              <w:bottom w:val="single" w:sz="4" w:space="0" w:color="auto"/>
            </w:tcBorders>
            <w:vAlign w:val="center"/>
          </w:tcPr>
          <w:p w14:paraId="69920BDD" w14:textId="77777777" w:rsidR="00915114" w:rsidRPr="00916B56" w:rsidRDefault="00915114" w:rsidP="00915114">
            <w:pPr>
              <w:jc w:val="center"/>
              <w:rPr>
                <w:rFonts w:ascii="Times New Roman" w:hAnsi="Times New Roman"/>
                <w:sz w:val="21"/>
                <w:szCs w:val="21"/>
              </w:rPr>
            </w:pPr>
            <w:r w:rsidRPr="00916B56">
              <w:rPr>
                <w:rFonts w:ascii="Times New Roman" w:hAnsi="Times New Roman"/>
                <w:sz w:val="21"/>
                <w:szCs w:val="21"/>
              </w:rPr>
              <w:t>Quantity</w:t>
            </w:r>
          </w:p>
        </w:tc>
      </w:tr>
      <w:bookmarkEnd w:id="10"/>
      <w:tr w:rsidR="00FD0F1A" w:rsidRPr="00916B56" w14:paraId="37E31D6B" w14:textId="77777777" w:rsidTr="00A62A32">
        <w:trPr>
          <w:cantSplit/>
          <w:trHeight w:val="305"/>
        </w:trPr>
        <w:tc>
          <w:tcPr>
            <w:tcW w:w="1917" w:type="dxa"/>
            <w:vAlign w:val="center"/>
          </w:tcPr>
          <w:p w14:paraId="3C2CCC75" w14:textId="77777777" w:rsidR="00A97AFE" w:rsidRPr="00916B56" w:rsidRDefault="00A97AFE" w:rsidP="00A97AFE">
            <w:pPr>
              <w:rPr>
                <w:rFonts w:ascii="Times New Roman" w:hAnsi="Times New Roman"/>
                <w:sz w:val="21"/>
                <w:szCs w:val="21"/>
              </w:rPr>
            </w:pPr>
            <w:r w:rsidRPr="00916B56">
              <w:rPr>
                <w:rFonts w:ascii="Times New Roman" w:hAnsi="Times New Roman"/>
                <w:sz w:val="21"/>
                <w:szCs w:val="21"/>
              </w:rPr>
              <w:t>Liang Feng</w:t>
            </w:r>
          </w:p>
        </w:tc>
        <w:tc>
          <w:tcPr>
            <w:tcW w:w="1656" w:type="dxa"/>
            <w:vAlign w:val="center"/>
          </w:tcPr>
          <w:p w14:paraId="1DAC6DF0"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0</w:t>
            </w:r>
          </w:p>
        </w:tc>
        <w:tc>
          <w:tcPr>
            <w:tcW w:w="1559" w:type="dxa"/>
            <w:vAlign w:val="center"/>
          </w:tcPr>
          <w:p w14:paraId="7B0243F6"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531,510,881</w:t>
            </w:r>
          </w:p>
        </w:tc>
        <w:tc>
          <w:tcPr>
            <w:tcW w:w="1134" w:type="dxa"/>
            <w:vAlign w:val="center"/>
          </w:tcPr>
          <w:p w14:paraId="20F621EA" w14:textId="77777777" w:rsidR="00A97AFE" w:rsidRPr="00916B56" w:rsidRDefault="00623253"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24.88</w:t>
            </w:r>
          </w:p>
        </w:tc>
        <w:tc>
          <w:tcPr>
            <w:tcW w:w="993" w:type="dxa"/>
            <w:vAlign w:val="center"/>
          </w:tcPr>
          <w:p w14:paraId="1D7FD711" w14:textId="77777777" w:rsidR="00A97AFE" w:rsidRPr="00916B56" w:rsidRDefault="00A97AFE" w:rsidP="00A97AFE">
            <w:pPr>
              <w:jc w:val="right"/>
              <w:rPr>
                <w:rFonts w:ascii="Times New Roman" w:hAnsi="Times New Roman"/>
                <w:sz w:val="21"/>
                <w:szCs w:val="21"/>
              </w:rPr>
            </w:pPr>
            <w:r w:rsidRPr="00916B56">
              <w:rPr>
                <w:rFonts w:ascii="Times New Roman" w:hAnsi="Times New Roman"/>
                <w:sz w:val="21"/>
                <w:szCs w:val="21"/>
              </w:rPr>
              <w:t>0</w:t>
            </w:r>
          </w:p>
        </w:tc>
        <w:tc>
          <w:tcPr>
            <w:tcW w:w="850" w:type="dxa"/>
            <w:vAlign w:val="center"/>
          </w:tcPr>
          <w:p w14:paraId="4C6A5E79" w14:textId="77777777" w:rsidR="00A97AFE" w:rsidRPr="00916B56" w:rsidRDefault="00A97AFE" w:rsidP="00A97AFE">
            <w:pPr>
              <w:jc w:val="center"/>
              <w:rPr>
                <w:rFonts w:ascii="Times New Roman" w:hAnsi="Times New Roman"/>
                <w:sz w:val="21"/>
                <w:szCs w:val="21"/>
              </w:rPr>
            </w:pPr>
            <w:r w:rsidRPr="00916B56">
              <w:rPr>
                <w:rFonts w:ascii="Times New Roman" w:hAnsi="Times New Roman"/>
                <w:sz w:val="21"/>
                <w:szCs w:val="21"/>
              </w:rPr>
              <w:t>In pledge</w:t>
            </w:r>
          </w:p>
        </w:tc>
        <w:tc>
          <w:tcPr>
            <w:tcW w:w="1276" w:type="dxa"/>
            <w:vAlign w:val="center"/>
          </w:tcPr>
          <w:p w14:paraId="27B723BF" w14:textId="77777777" w:rsidR="00A97AFE" w:rsidRPr="00916B56" w:rsidRDefault="00623253"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239,010,000</w:t>
            </w:r>
          </w:p>
        </w:tc>
      </w:tr>
      <w:tr w:rsidR="00FD0F1A" w:rsidRPr="00916B56" w14:paraId="325570E3" w14:textId="77777777" w:rsidTr="00A62A32">
        <w:trPr>
          <w:cantSplit/>
          <w:trHeight w:val="916"/>
        </w:trPr>
        <w:tc>
          <w:tcPr>
            <w:tcW w:w="1917" w:type="dxa"/>
            <w:vAlign w:val="center"/>
          </w:tcPr>
          <w:p w14:paraId="1EEC7335" w14:textId="77777777" w:rsidR="00A97AFE" w:rsidRPr="00916B56" w:rsidRDefault="00A97AFE" w:rsidP="00A97AFE">
            <w:pPr>
              <w:kinsoku w:val="0"/>
              <w:wordWrap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Ningbo </w:t>
            </w:r>
            <w:proofErr w:type="spellStart"/>
            <w:r w:rsidRPr="00916B56">
              <w:rPr>
                <w:rFonts w:ascii="Times New Roman" w:hAnsi="Times New Roman"/>
                <w:sz w:val="21"/>
                <w:szCs w:val="21"/>
              </w:rPr>
              <w:t>Shengyue</w:t>
            </w:r>
            <w:proofErr w:type="spellEnd"/>
            <w:r w:rsidRPr="00916B56">
              <w:rPr>
                <w:rFonts w:ascii="Times New Roman" w:hAnsi="Times New Roman"/>
                <w:sz w:val="21"/>
                <w:szCs w:val="21"/>
              </w:rPr>
              <w:t xml:space="preserve"> Venture Capital Partnership (Limited Partnership)</w:t>
            </w:r>
          </w:p>
        </w:tc>
        <w:tc>
          <w:tcPr>
            <w:tcW w:w="1656" w:type="dxa"/>
            <w:vAlign w:val="center"/>
          </w:tcPr>
          <w:p w14:paraId="700C69DB"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0</w:t>
            </w:r>
          </w:p>
        </w:tc>
        <w:tc>
          <w:tcPr>
            <w:tcW w:w="1559" w:type="dxa"/>
            <w:vAlign w:val="center"/>
          </w:tcPr>
          <w:p w14:paraId="2745D9D7"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230,261,325</w:t>
            </w:r>
          </w:p>
        </w:tc>
        <w:tc>
          <w:tcPr>
            <w:tcW w:w="1134" w:type="dxa"/>
            <w:vAlign w:val="center"/>
          </w:tcPr>
          <w:p w14:paraId="3DC2DA82" w14:textId="77777777" w:rsidR="00A97AFE" w:rsidRPr="00916B56" w:rsidRDefault="00623253"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10.78</w:t>
            </w:r>
          </w:p>
        </w:tc>
        <w:tc>
          <w:tcPr>
            <w:tcW w:w="993" w:type="dxa"/>
            <w:vAlign w:val="center"/>
          </w:tcPr>
          <w:p w14:paraId="7745790D" w14:textId="77777777" w:rsidR="00A97AFE" w:rsidRPr="00916B56" w:rsidRDefault="00A97AFE" w:rsidP="00A97AFE">
            <w:pPr>
              <w:jc w:val="right"/>
              <w:rPr>
                <w:rFonts w:ascii="Times New Roman" w:hAnsi="Times New Roman"/>
                <w:sz w:val="21"/>
                <w:szCs w:val="21"/>
              </w:rPr>
            </w:pPr>
            <w:r w:rsidRPr="00916B56">
              <w:rPr>
                <w:rFonts w:ascii="Times New Roman" w:hAnsi="Times New Roman"/>
                <w:sz w:val="21"/>
                <w:szCs w:val="21"/>
              </w:rPr>
              <w:t>0</w:t>
            </w:r>
          </w:p>
        </w:tc>
        <w:tc>
          <w:tcPr>
            <w:tcW w:w="850" w:type="dxa"/>
            <w:vAlign w:val="center"/>
          </w:tcPr>
          <w:p w14:paraId="3F41E108" w14:textId="77777777" w:rsidR="00A97AFE" w:rsidRPr="00916B56" w:rsidRDefault="00623253" w:rsidP="00A97AFE">
            <w:pPr>
              <w:jc w:val="center"/>
              <w:rPr>
                <w:rFonts w:ascii="Times New Roman" w:hAnsi="Times New Roman"/>
                <w:sz w:val="21"/>
                <w:szCs w:val="21"/>
              </w:rPr>
            </w:pPr>
            <w:r w:rsidRPr="00916B56">
              <w:rPr>
                <w:rFonts w:ascii="Times New Roman" w:hAnsi="Times New Roman"/>
                <w:sz w:val="21"/>
                <w:szCs w:val="21"/>
              </w:rPr>
              <w:t>none</w:t>
            </w:r>
          </w:p>
        </w:tc>
        <w:tc>
          <w:tcPr>
            <w:tcW w:w="1276" w:type="dxa"/>
            <w:vAlign w:val="center"/>
          </w:tcPr>
          <w:p w14:paraId="5D62CCBE" w14:textId="77777777" w:rsidR="00A97AFE" w:rsidRPr="00916B56" w:rsidRDefault="00A97AFE" w:rsidP="00A97AFE">
            <w:pPr>
              <w:jc w:val="right"/>
              <w:rPr>
                <w:rFonts w:ascii="Times New Roman" w:eastAsiaTheme="majorEastAsia" w:hAnsi="Times New Roman"/>
                <w:sz w:val="21"/>
                <w:szCs w:val="21"/>
              </w:rPr>
            </w:pPr>
          </w:p>
        </w:tc>
      </w:tr>
      <w:tr w:rsidR="00FD0F1A" w:rsidRPr="00916B56" w14:paraId="0AF131F5" w14:textId="77777777" w:rsidTr="00A62A32">
        <w:trPr>
          <w:cantSplit/>
          <w:trHeight w:val="928"/>
        </w:trPr>
        <w:tc>
          <w:tcPr>
            <w:tcW w:w="1917" w:type="dxa"/>
            <w:vAlign w:val="center"/>
          </w:tcPr>
          <w:p w14:paraId="12D88278" w14:textId="77777777" w:rsidR="00A97AFE" w:rsidRPr="00916B56" w:rsidRDefault="00A97AFE" w:rsidP="00A97AFE">
            <w:pPr>
              <w:kinsoku w:val="0"/>
              <w:wordWrap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Ningbo </w:t>
            </w:r>
            <w:proofErr w:type="spellStart"/>
            <w:r w:rsidRPr="00916B56">
              <w:rPr>
                <w:rFonts w:ascii="Times New Roman" w:hAnsi="Times New Roman"/>
                <w:sz w:val="21"/>
                <w:szCs w:val="21"/>
              </w:rPr>
              <w:t>Kuoneng</w:t>
            </w:r>
            <w:proofErr w:type="spellEnd"/>
            <w:r w:rsidRPr="00916B56">
              <w:rPr>
                <w:rFonts w:ascii="Times New Roman" w:hAnsi="Times New Roman"/>
                <w:sz w:val="21"/>
                <w:szCs w:val="21"/>
              </w:rPr>
              <w:t xml:space="preserve"> Venture Capital Partnership (Limited Partnership)</w:t>
            </w:r>
          </w:p>
        </w:tc>
        <w:tc>
          <w:tcPr>
            <w:tcW w:w="1656" w:type="dxa"/>
            <w:vAlign w:val="center"/>
          </w:tcPr>
          <w:p w14:paraId="1711EC72"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0</w:t>
            </w:r>
          </w:p>
        </w:tc>
        <w:tc>
          <w:tcPr>
            <w:tcW w:w="1559" w:type="dxa"/>
            <w:vAlign w:val="center"/>
          </w:tcPr>
          <w:p w14:paraId="25A88365"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199,799,546</w:t>
            </w:r>
          </w:p>
        </w:tc>
        <w:tc>
          <w:tcPr>
            <w:tcW w:w="1134" w:type="dxa"/>
            <w:vAlign w:val="center"/>
          </w:tcPr>
          <w:p w14:paraId="4CC57316"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9.35</w:t>
            </w:r>
          </w:p>
        </w:tc>
        <w:tc>
          <w:tcPr>
            <w:tcW w:w="993" w:type="dxa"/>
            <w:vAlign w:val="center"/>
          </w:tcPr>
          <w:p w14:paraId="4DDCF213" w14:textId="77777777" w:rsidR="00A97AFE" w:rsidRPr="00916B56" w:rsidRDefault="00A97AFE" w:rsidP="00A97AFE">
            <w:pPr>
              <w:jc w:val="right"/>
              <w:rPr>
                <w:rFonts w:ascii="Times New Roman" w:hAnsi="Times New Roman"/>
                <w:sz w:val="21"/>
                <w:szCs w:val="21"/>
              </w:rPr>
            </w:pPr>
            <w:r w:rsidRPr="00916B56">
              <w:rPr>
                <w:rFonts w:ascii="Times New Roman" w:hAnsi="Times New Roman"/>
                <w:sz w:val="21"/>
                <w:szCs w:val="21"/>
              </w:rPr>
              <w:t>0</w:t>
            </w:r>
          </w:p>
        </w:tc>
        <w:tc>
          <w:tcPr>
            <w:tcW w:w="850" w:type="dxa"/>
            <w:vAlign w:val="center"/>
          </w:tcPr>
          <w:p w14:paraId="303FB000" w14:textId="77777777" w:rsidR="00A97AFE" w:rsidRPr="00916B56" w:rsidRDefault="00A97AFE" w:rsidP="00A97AFE">
            <w:pPr>
              <w:jc w:val="center"/>
              <w:rPr>
                <w:rFonts w:ascii="Times New Roman" w:hAnsi="Times New Roman"/>
                <w:sz w:val="21"/>
                <w:szCs w:val="21"/>
              </w:rPr>
            </w:pPr>
            <w:r w:rsidRPr="00916B56">
              <w:rPr>
                <w:rFonts w:ascii="Times New Roman" w:hAnsi="Times New Roman"/>
                <w:sz w:val="21"/>
                <w:szCs w:val="21"/>
              </w:rPr>
              <w:t>none</w:t>
            </w:r>
          </w:p>
        </w:tc>
        <w:tc>
          <w:tcPr>
            <w:tcW w:w="1276" w:type="dxa"/>
            <w:vAlign w:val="center"/>
          </w:tcPr>
          <w:p w14:paraId="164FB576" w14:textId="77777777" w:rsidR="00A97AFE" w:rsidRPr="00916B56" w:rsidRDefault="00A97AFE" w:rsidP="00A97AFE">
            <w:pPr>
              <w:ind w:rightChars="-118" w:right="-248"/>
              <w:jc w:val="right"/>
              <w:rPr>
                <w:rFonts w:ascii="Times New Roman" w:hAnsi="Times New Roman"/>
                <w:sz w:val="21"/>
                <w:szCs w:val="21"/>
              </w:rPr>
            </w:pPr>
          </w:p>
        </w:tc>
      </w:tr>
      <w:tr w:rsidR="00FD0F1A" w:rsidRPr="00916B56" w14:paraId="3425B33D" w14:textId="77777777" w:rsidTr="00A62A32">
        <w:trPr>
          <w:cantSplit/>
          <w:trHeight w:val="305"/>
        </w:trPr>
        <w:tc>
          <w:tcPr>
            <w:tcW w:w="1917" w:type="dxa"/>
            <w:vAlign w:val="center"/>
          </w:tcPr>
          <w:p w14:paraId="62163F6C" w14:textId="77777777" w:rsidR="00A97AFE" w:rsidRPr="00916B56" w:rsidRDefault="00A97AFE" w:rsidP="00A97AFE">
            <w:pPr>
              <w:rPr>
                <w:rFonts w:ascii="Times New Roman" w:hAnsi="Times New Roman"/>
                <w:sz w:val="21"/>
                <w:szCs w:val="21"/>
              </w:rPr>
            </w:pPr>
            <w:r w:rsidRPr="00916B56">
              <w:rPr>
                <w:rFonts w:ascii="Times New Roman" w:hAnsi="Times New Roman"/>
                <w:sz w:val="21"/>
                <w:szCs w:val="21"/>
              </w:rPr>
              <w:t>Chen Wei</w:t>
            </w:r>
          </w:p>
        </w:tc>
        <w:tc>
          <w:tcPr>
            <w:tcW w:w="1656" w:type="dxa"/>
            <w:vAlign w:val="center"/>
          </w:tcPr>
          <w:p w14:paraId="0A8BEDA7" w14:textId="77777777" w:rsidR="00A97AFE" w:rsidRPr="00916B56" w:rsidRDefault="00623253"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0</w:t>
            </w:r>
          </w:p>
        </w:tc>
        <w:tc>
          <w:tcPr>
            <w:tcW w:w="1559" w:type="dxa"/>
            <w:vAlign w:val="center"/>
          </w:tcPr>
          <w:p w14:paraId="3528C3DC"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176,698,100</w:t>
            </w:r>
          </w:p>
        </w:tc>
        <w:tc>
          <w:tcPr>
            <w:tcW w:w="1134" w:type="dxa"/>
            <w:vAlign w:val="center"/>
          </w:tcPr>
          <w:p w14:paraId="77EE9E7E"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8.27</w:t>
            </w:r>
          </w:p>
        </w:tc>
        <w:tc>
          <w:tcPr>
            <w:tcW w:w="993" w:type="dxa"/>
            <w:vAlign w:val="center"/>
          </w:tcPr>
          <w:p w14:paraId="1843443B" w14:textId="77777777" w:rsidR="00A97AFE" w:rsidRPr="00916B56" w:rsidRDefault="00A97AFE" w:rsidP="00A97AFE">
            <w:pPr>
              <w:jc w:val="right"/>
              <w:rPr>
                <w:rFonts w:ascii="Times New Roman" w:hAnsi="Times New Roman"/>
                <w:sz w:val="21"/>
                <w:szCs w:val="21"/>
              </w:rPr>
            </w:pPr>
            <w:r w:rsidRPr="00916B56">
              <w:rPr>
                <w:rFonts w:ascii="Times New Roman" w:hAnsi="Times New Roman"/>
                <w:sz w:val="21"/>
                <w:szCs w:val="21"/>
              </w:rPr>
              <w:t>0</w:t>
            </w:r>
          </w:p>
        </w:tc>
        <w:tc>
          <w:tcPr>
            <w:tcW w:w="850" w:type="dxa"/>
            <w:vAlign w:val="center"/>
          </w:tcPr>
          <w:p w14:paraId="679D5A08" w14:textId="77777777" w:rsidR="00A97AFE" w:rsidRPr="00916B56" w:rsidRDefault="00A97AFE" w:rsidP="00A97AFE">
            <w:pPr>
              <w:jc w:val="center"/>
              <w:rPr>
                <w:rFonts w:ascii="Times New Roman" w:hAnsi="Times New Roman"/>
                <w:sz w:val="21"/>
                <w:szCs w:val="21"/>
              </w:rPr>
            </w:pPr>
            <w:r w:rsidRPr="00916B56">
              <w:rPr>
                <w:rFonts w:ascii="Times New Roman" w:hAnsi="Times New Roman"/>
                <w:sz w:val="21"/>
                <w:szCs w:val="21"/>
              </w:rPr>
              <w:t>none</w:t>
            </w:r>
          </w:p>
        </w:tc>
        <w:tc>
          <w:tcPr>
            <w:tcW w:w="1276" w:type="dxa"/>
            <w:vAlign w:val="center"/>
          </w:tcPr>
          <w:p w14:paraId="1A93D381" w14:textId="77777777" w:rsidR="00A97AFE" w:rsidRPr="00916B56" w:rsidRDefault="00A97AFE" w:rsidP="00A97AFE">
            <w:pPr>
              <w:ind w:leftChars="-115" w:left="-241"/>
              <w:jc w:val="right"/>
              <w:rPr>
                <w:rFonts w:ascii="Times New Roman" w:hAnsi="Times New Roman"/>
                <w:sz w:val="21"/>
                <w:szCs w:val="21"/>
              </w:rPr>
            </w:pPr>
          </w:p>
        </w:tc>
      </w:tr>
      <w:tr w:rsidR="00FD0F1A" w:rsidRPr="00916B56" w14:paraId="5359F368" w14:textId="77777777" w:rsidTr="00A62A32">
        <w:trPr>
          <w:cantSplit/>
          <w:trHeight w:val="611"/>
        </w:trPr>
        <w:tc>
          <w:tcPr>
            <w:tcW w:w="1917" w:type="dxa"/>
            <w:vAlign w:val="center"/>
          </w:tcPr>
          <w:p w14:paraId="2559E78E" w14:textId="77777777" w:rsidR="00A97AFE" w:rsidRPr="00916B56" w:rsidRDefault="00A97AFE" w:rsidP="00A97AFE">
            <w:pPr>
              <w:rPr>
                <w:rFonts w:ascii="Times New Roman" w:hAnsi="Times New Roman"/>
                <w:sz w:val="21"/>
                <w:szCs w:val="21"/>
              </w:rPr>
            </w:pPr>
            <w:r w:rsidRPr="00916B56">
              <w:rPr>
                <w:rFonts w:ascii="Times New Roman" w:hAnsi="Times New Roman"/>
                <w:sz w:val="21"/>
                <w:szCs w:val="21"/>
              </w:rPr>
              <w:t>HKSCC</w:t>
            </w:r>
          </w:p>
        </w:tc>
        <w:tc>
          <w:tcPr>
            <w:tcW w:w="1656" w:type="dxa"/>
            <w:vAlign w:val="center"/>
          </w:tcPr>
          <w:p w14:paraId="0514F580" w14:textId="77777777" w:rsidR="00A97AFE" w:rsidRPr="00916B56" w:rsidRDefault="00623253" w:rsidP="00A97AFE">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lang w:val="en-US"/>
              </w:rPr>
              <w:t>-35,500,889</w:t>
            </w:r>
          </w:p>
        </w:tc>
        <w:tc>
          <w:tcPr>
            <w:tcW w:w="1559" w:type="dxa"/>
            <w:vAlign w:val="center"/>
          </w:tcPr>
          <w:p w14:paraId="101AEAD9" w14:textId="77777777" w:rsidR="00A97AFE" w:rsidRPr="00916B56" w:rsidRDefault="00623253" w:rsidP="00A97AFE">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lang w:val="en-US"/>
              </w:rPr>
              <w:t>66,338,544</w:t>
            </w:r>
          </w:p>
        </w:tc>
        <w:tc>
          <w:tcPr>
            <w:tcW w:w="1134" w:type="dxa"/>
            <w:vAlign w:val="center"/>
          </w:tcPr>
          <w:p w14:paraId="73B034E9" w14:textId="77777777" w:rsidR="00A97AFE" w:rsidRPr="00916B56" w:rsidRDefault="00623253"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3.11</w:t>
            </w:r>
          </w:p>
        </w:tc>
        <w:tc>
          <w:tcPr>
            <w:tcW w:w="993" w:type="dxa"/>
            <w:vAlign w:val="center"/>
          </w:tcPr>
          <w:p w14:paraId="49EAC3AF" w14:textId="77777777" w:rsidR="00A97AFE" w:rsidRPr="00916B56" w:rsidRDefault="00A97AFE" w:rsidP="00A97AFE">
            <w:pPr>
              <w:jc w:val="right"/>
              <w:rPr>
                <w:rFonts w:ascii="Times New Roman" w:hAnsi="Times New Roman"/>
                <w:sz w:val="21"/>
                <w:szCs w:val="21"/>
              </w:rPr>
            </w:pPr>
            <w:r w:rsidRPr="00916B56">
              <w:rPr>
                <w:rFonts w:ascii="Times New Roman" w:hAnsi="Times New Roman"/>
                <w:sz w:val="21"/>
                <w:szCs w:val="21"/>
              </w:rPr>
              <w:t>0</w:t>
            </w:r>
          </w:p>
        </w:tc>
        <w:tc>
          <w:tcPr>
            <w:tcW w:w="850" w:type="dxa"/>
            <w:vAlign w:val="center"/>
          </w:tcPr>
          <w:p w14:paraId="4E61DFEC" w14:textId="77777777" w:rsidR="00A97AFE" w:rsidRPr="00916B56" w:rsidRDefault="00A97AFE" w:rsidP="00A97AFE">
            <w:pPr>
              <w:jc w:val="center"/>
              <w:rPr>
                <w:rFonts w:ascii="Times New Roman" w:hAnsi="Times New Roman"/>
                <w:sz w:val="21"/>
                <w:szCs w:val="21"/>
              </w:rPr>
            </w:pPr>
            <w:r w:rsidRPr="00916B56">
              <w:rPr>
                <w:rFonts w:ascii="Times New Roman" w:hAnsi="Times New Roman"/>
                <w:sz w:val="21"/>
                <w:szCs w:val="21"/>
              </w:rPr>
              <w:t>none</w:t>
            </w:r>
          </w:p>
        </w:tc>
        <w:tc>
          <w:tcPr>
            <w:tcW w:w="1276" w:type="dxa"/>
            <w:vAlign w:val="center"/>
          </w:tcPr>
          <w:p w14:paraId="1BD8484A" w14:textId="77777777" w:rsidR="00A97AFE" w:rsidRPr="00916B56" w:rsidRDefault="00A97AFE" w:rsidP="00A97AFE">
            <w:pPr>
              <w:jc w:val="right"/>
              <w:rPr>
                <w:rFonts w:ascii="Times New Roman" w:hAnsi="Times New Roman"/>
                <w:sz w:val="21"/>
                <w:szCs w:val="21"/>
              </w:rPr>
            </w:pPr>
          </w:p>
        </w:tc>
      </w:tr>
      <w:tr w:rsidR="00FD0F1A" w:rsidRPr="00916B56" w14:paraId="7C76B1A7" w14:textId="77777777" w:rsidTr="00A62A32">
        <w:trPr>
          <w:cantSplit/>
          <w:trHeight w:val="1234"/>
        </w:trPr>
        <w:tc>
          <w:tcPr>
            <w:tcW w:w="1917" w:type="dxa"/>
            <w:vAlign w:val="center"/>
          </w:tcPr>
          <w:p w14:paraId="3CDBC349" w14:textId="77777777" w:rsidR="00A97AFE" w:rsidRPr="00916B56" w:rsidRDefault="00376D64" w:rsidP="00A97AFE">
            <w:pPr>
              <w:kinsoku w:val="0"/>
              <w:wordWrap w:val="0"/>
              <w:overflowPunct w:val="0"/>
              <w:autoSpaceDE w:val="0"/>
              <w:autoSpaceDN w:val="0"/>
              <w:adjustRightInd w:val="0"/>
              <w:snapToGrid w:val="0"/>
              <w:rPr>
                <w:rFonts w:ascii="Times New Roman" w:hAnsi="Times New Roman"/>
                <w:sz w:val="21"/>
                <w:szCs w:val="21"/>
              </w:rPr>
            </w:pPr>
            <w:r w:rsidRPr="00916B56">
              <w:rPr>
                <w:rFonts w:ascii="Times New Roman" w:hAnsi="Times New Roman"/>
                <w:sz w:val="21"/>
                <w:szCs w:val="21"/>
              </w:rPr>
              <w:t xml:space="preserve">Qi </w:t>
            </w:r>
            <w:proofErr w:type="spellStart"/>
            <w:r w:rsidRPr="00916B56">
              <w:rPr>
                <w:rFonts w:ascii="Times New Roman" w:hAnsi="Times New Roman"/>
                <w:sz w:val="21"/>
                <w:szCs w:val="21"/>
              </w:rPr>
              <w:t>Xiaodong</w:t>
            </w:r>
            <w:proofErr w:type="spellEnd"/>
          </w:p>
        </w:tc>
        <w:tc>
          <w:tcPr>
            <w:tcW w:w="1656" w:type="dxa"/>
            <w:vAlign w:val="center"/>
          </w:tcPr>
          <w:p w14:paraId="55DF8D94"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0</w:t>
            </w:r>
          </w:p>
        </w:tc>
        <w:tc>
          <w:tcPr>
            <w:tcW w:w="1559" w:type="dxa"/>
            <w:vAlign w:val="center"/>
          </w:tcPr>
          <w:p w14:paraId="7C473A3B"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37,990,000</w:t>
            </w:r>
          </w:p>
        </w:tc>
        <w:tc>
          <w:tcPr>
            <w:tcW w:w="1134" w:type="dxa"/>
            <w:vAlign w:val="center"/>
          </w:tcPr>
          <w:p w14:paraId="5391F6F9" w14:textId="77777777" w:rsidR="00A97AFE" w:rsidRPr="00916B56" w:rsidRDefault="00A97AFE" w:rsidP="00A97AFE">
            <w:pPr>
              <w:jc w:val="right"/>
              <w:rPr>
                <w:rFonts w:ascii="Times New Roman" w:eastAsiaTheme="majorEastAsia" w:hAnsi="Times New Roman"/>
                <w:sz w:val="21"/>
                <w:szCs w:val="21"/>
              </w:rPr>
            </w:pPr>
            <w:r w:rsidRPr="00916B56">
              <w:rPr>
                <w:rFonts w:ascii="Times New Roman" w:eastAsiaTheme="majorEastAsia" w:hAnsi="Times New Roman"/>
                <w:sz w:val="21"/>
                <w:szCs w:val="21"/>
              </w:rPr>
              <w:t>1.78</w:t>
            </w:r>
          </w:p>
        </w:tc>
        <w:tc>
          <w:tcPr>
            <w:tcW w:w="993" w:type="dxa"/>
            <w:vAlign w:val="center"/>
          </w:tcPr>
          <w:p w14:paraId="21BC8CF2" w14:textId="77777777" w:rsidR="00A97AFE" w:rsidRPr="00916B56" w:rsidRDefault="00A97AFE" w:rsidP="00A97AFE">
            <w:pPr>
              <w:jc w:val="right"/>
              <w:rPr>
                <w:rFonts w:ascii="Times New Roman" w:hAnsi="Times New Roman"/>
                <w:sz w:val="21"/>
                <w:szCs w:val="21"/>
              </w:rPr>
            </w:pPr>
            <w:r w:rsidRPr="00916B56">
              <w:rPr>
                <w:rFonts w:ascii="Times New Roman" w:hAnsi="Times New Roman"/>
                <w:sz w:val="21"/>
                <w:szCs w:val="21"/>
              </w:rPr>
              <w:t>0</w:t>
            </w:r>
          </w:p>
        </w:tc>
        <w:tc>
          <w:tcPr>
            <w:tcW w:w="850" w:type="dxa"/>
            <w:vAlign w:val="center"/>
          </w:tcPr>
          <w:p w14:paraId="5977D543" w14:textId="77777777" w:rsidR="00A97AFE" w:rsidRPr="00916B56" w:rsidRDefault="00A97AFE" w:rsidP="00A97AFE">
            <w:pPr>
              <w:jc w:val="center"/>
              <w:rPr>
                <w:rFonts w:ascii="Times New Roman" w:hAnsi="Times New Roman"/>
                <w:sz w:val="21"/>
                <w:szCs w:val="21"/>
              </w:rPr>
            </w:pPr>
            <w:r w:rsidRPr="00916B56">
              <w:rPr>
                <w:rFonts w:ascii="Times New Roman" w:hAnsi="Times New Roman"/>
                <w:sz w:val="21"/>
                <w:szCs w:val="21"/>
              </w:rPr>
              <w:t>none</w:t>
            </w:r>
          </w:p>
        </w:tc>
        <w:tc>
          <w:tcPr>
            <w:tcW w:w="1276" w:type="dxa"/>
            <w:vAlign w:val="center"/>
          </w:tcPr>
          <w:p w14:paraId="653D51C4" w14:textId="77777777" w:rsidR="00A97AFE" w:rsidRPr="00916B56" w:rsidRDefault="00A97AFE" w:rsidP="00A97AFE">
            <w:pPr>
              <w:jc w:val="right"/>
              <w:rPr>
                <w:rFonts w:ascii="Times New Roman" w:hAnsi="Times New Roman"/>
                <w:sz w:val="21"/>
                <w:szCs w:val="21"/>
              </w:rPr>
            </w:pPr>
          </w:p>
        </w:tc>
      </w:tr>
      <w:tr w:rsidR="00965056" w:rsidRPr="00916B56" w14:paraId="634F9F11" w14:textId="77777777" w:rsidTr="0079560C">
        <w:trPr>
          <w:cantSplit/>
          <w:trHeight w:val="1529"/>
        </w:trPr>
        <w:tc>
          <w:tcPr>
            <w:tcW w:w="1917" w:type="dxa"/>
            <w:vAlign w:val="center"/>
          </w:tcPr>
          <w:p w14:paraId="708A519F" w14:textId="77777777" w:rsidR="00965056" w:rsidRPr="00916B56" w:rsidRDefault="00965056" w:rsidP="00965056">
            <w:pPr>
              <w:rPr>
                <w:rFonts w:ascii="Times New Roman" w:hAnsi="Times New Roman"/>
                <w:sz w:val="21"/>
                <w:szCs w:val="21"/>
              </w:rPr>
            </w:pPr>
            <w:r w:rsidRPr="00916B56">
              <w:rPr>
                <w:rFonts w:ascii="Times New Roman" w:hAnsi="Times New Roman"/>
                <w:sz w:val="21"/>
                <w:szCs w:val="21"/>
              </w:rPr>
              <w:t>Chengdu Advanced Capital Management Co., Ltd. - Chengdu Major Industrialization Project Phase I Equity Investment Fund Co., Ltd.</w:t>
            </w:r>
          </w:p>
        </w:tc>
        <w:tc>
          <w:tcPr>
            <w:tcW w:w="1656" w:type="dxa"/>
            <w:vAlign w:val="center"/>
          </w:tcPr>
          <w:p w14:paraId="056A27A4"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-22,359,770</w:t>
            </w:r>
          </w:p>
        </w:tc>
        <w:tc>
          <w:tcPr>
            <w:tcW w:w="1559" w:type="dxa"/>
            <w:vAlign w:val="center"/>
          </w:tcPr>
          <w:p w14:paraId="547F8130"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20,818,122</w:t>
            </w:r>
          </w:p>
        </w:tc>
        <w:tc>
          <w:tcPr>
            <w:tcW w:w="1134" w:type="dxa"/>
            <w:vAlign w:val="center"/>
          </w:tcPr>
          <w:p w14:paraId="3A8BFAA2"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0.97</w:t>
            </w:r>
          </w:p>
        </w:tc>
        <w:tc>
          <w:tcPr>
            <w:tcW w:w="993" w:type="dxa"/>
            <w:vAlign w:val="center"/>
          </w:tcPr>
          <w:p w14:paraId="271AFDC8" w14:textId="77777777" w:rsidR="00965056" w:rsidRPr="00916B56" w:rsidRDefault="00965056" w:rsidP="00965056">
            <w:pPr>
              <w:jc w:val="right"/>
              <w:rPr>
                <w:rFonts w:ascii="Times New Roman" w:hAnsi="Times New Roman"/>
                <w:sz w:val="21"/>
                <w:szCs w:val="21"/>
              </w:rPr>
            </w:pPr>
            <w:r w:rsidRPr="00916B56">
              <w:rPr>
                <w:rFonts w:ascii="Times New Roman" w:hAnsi="Times New Roman"/>
                <w:sz w:val="21"/>
                <w:szCs w:val="21"/>
              </w:rPr>
              <w:t>0</w:t>
            </w:r>
          </w:p>
        </w:tc>
        <w:tc>
          <w:tcPr>
            <w:tcW w:w="850" w:type="dxa"/>
            <w:vAlign w:val="center"/>
          </w:tcPr>
          <w:p w14:paraId="5186AED5" w14:textId="77777777" w:rsidR="00965056" w:rsidRPr="00916B56" w:rsidRDefault="00965056" w:rsidP="00965056">
            <w:pPr>
              <w:jc w:val="center"/>
              <w:rPr>
                <w:rFonts w:ascii="Times New Roman" w:hAnsi="Times New Roman"/>
                <w:sz w:val="21"/>
                <w:szCs w:val="21"/>
              </w:rPr>
            </w:pPr>
            <w:r w:rsidRPr="00916B56">
              <w:rPr>
                <w:rFonts w:ascii="Times New Roman" w:hAnsi="Times New Roman"/>
                <w:sz w:val="21"/>
                <w:szCs w:val="21"/>
              </w:rPr>
              <w:t>none</w:t>
            </w:r>
          </w:p>
        </w:tc>
        <w:tc>
          <w:tcPr>
            <w:tcW w:w="1276" w:type="dxa"/>
            <w:vAlign w:val="center"/>
          </w:tcPr>
          <w:p w14:paraId="36EDFEAA" w14:textId="77777777" w:rsidR="00965056" w:rsidRPr="00916B56" w:rsidRDefault="00965056" w:rsidP="00965056">
            <w:pPr>
              <w:jc w:val="right"/>
              <w:rPr>
                <w:rFonts w:ascii="Times New Roman" w:hAnsi="Times New Roman"/>
                <w:sz w:val="21"/>
                <w:szCs w:val="21"/>
              </w:rPr>
            </w:pPr>
          </w:p>
        </w:tc>
      </w:tr>
      <w:tr w:rsidR="00965056" w:rsidRPr="00916B56" w14:paraId="0B3CBEDE" w14:textId="77777777" w:rsidTr="0079560C">
        <w:trPr>
          <w:cantSplit/>
          <w:trHeight w:val="1540"/>
        </w:trPr>
        <w:tc>
          <w:tcPr>
            <w:tcW w:w="1917" w:type="dxa"/>
            <w:vAlign w:val="center"/>
          </w:tcPr>
          <w:p w14:paraId="00962AD1" w14:textId="77777777" w:rsidR="00965056" w:rsidRPr="00916B56" w:rsidRDefault="00965056" w:rsidP="00965056">
            <w:pPr>
              <w:wordWrap w:val="0"/>
              <w:rPr>
                <w:rFonts w:ascii="Times New Roman" w:hAnsi="Times New Roman"/>
                <w:sz w:val="21"/>
                <w:szCs w:val="21"/>
              </w:rPr>
            </w:pPr>
            <w:r w:rsidRPr="00916B56">
              <w:rPr>
                <w:rFonts w:ascii="Times New Roman" w:hAnsi="Times New Roman"/>
                <w:sz w:val="21"/>
                <w:szCs w:val="21"/>
              </w:rPr>
              <w:t>China Construction Bank Corporation – China AMC Energy Innovation Equity Securities Investment Fund</w:t>
            </w:r>
          </w:p>
        </w:tc>
        <w:tc>
          <w:tcPr>
            <w:tcW w:w="1656" w:type="dxa"/>
            <w:vAlign w:val="center"/>
          </w:tcPr>
          <w:p w14:paraId="1BF54D06"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-2,893,588</w:t>
            </w:r>
          </w:p>
        </w:tc>
        <w:tc>
          <w:tcPr>
            <w:tcW w:w="1559" w:type="dxa"/>
            <w:vAlign w:val="center"/>
          </w:tcPr>
          <w:p w14:paraId="2C98A265"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19,064,326</w:t>
            </w:r>
          </w:p>
        </w:tc>
        <w:tc>
          <w:tcPr>
            <w:tcW w:w="1134" w:type="dxa"/>
            <w:vAlign w:val="center"/>
          </w:tcPr>
          <w:p w14:paraId="769AB90B"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0.89</w:t>
            </w:r>
          </w:p>
        </w:tc>
        <w:tc>
          <w:tcPr>
            <w:tcW w:w="993" w:type="dxa"/>
            <w:vAlign w:val="center"/>
          </w:tcPr>
          <w:p w14:paraId="28B9D3F8" w14:textId="77777777" w:rsidR="00965056" w:rsidRPr="00916B56" w:rsidRDefault="00965056" w:rsidP="00965056">
            <w:pPr>
              <w:jc w:val="right"/>
              <w:rPr>
                <w:rFonts w:ascii="Times New Roman" w:hAnsi="Times New Roman"/>
                <w:sz w:val="21"/>
                <w:szCs w:val="21"/>
              </w:rPr>
            </w:pPr>
            <w:r w:rsidRPr="00916B56">
              <w:rPr>
                <w:rFonts w:ascii="Times New Roman" w:hAnsi="Times New Roman"/>
                <w:sz w:val="21"/>
                <w:szCs w:val="21"/>
              </w:rPr>
              <w:t>0</w:t>
            </w:r>
          </w:p>
        </w:tc>
        <w:tc>
          <w:tcPr>
            <w:tcW w:w="850" w:type="dxa"/>
            <w:vAlign w:val="center"/>
          </w:tcPr>
          <w:p w14:paraId="7C05A1CA" w14:textId="77777777" w:rsidR="00965056" w:rsidRPr="00916B56" w:rsidRDefault="00965056" w:rsidP="00965056">
            <w:pPr>
              <w:jc w:val="center"/>
              <w:rPr>
                <w:rFonts w:ascii="Times New Roman" w:hAnsi="Times New Roman"/>
                <w:sz w:val="21"/>
                <w:szCs w:val="21"/>
              </w:rPr>
            </w:pPr>
            <w:r w:rsidRPr="00916B56">
              <w:rPr>
                <w:rFonts w:ascii="Times New Roman" w:hAnsi="Times New Roman"/>
                <w:sz w:val="21"/>
                <w:szCs w:val="21"/>
              </w:rPr>
              <w:t>none</w:t>
            </w:r>
          </w:p>
        </w:tc>
        <w:tc>
          <w:tcPr>
            <w:tcW w:w="1276" w:type="dxa"/>
            <w:vAlign w:val="center"/>
          </w:tcPr>
          <w:p w14:paraId="7F1CB445" w14:textId="77777777" w:rsidR="00965056" w:rsidRPr="00916B56" w:rsidRDefault="00965056" w:rsidP="00965056">
            <w:pPr>
              <w:jc w:val="right"/>
              <w:rPr>
                <w:rFonts w:ascii="Times New Roman" w:hAnsi="Times New Roman"/>
                <w:sz w:val="21"/>
                <w:szCs w:val="21"/>
              </w:rPr>
            </w:pPr>
          </w:p>
        </w:tc>
      </w:tr>
      <w:tr w:rsidR="00965056" w:rsidRPr="00916B56" w14:paraId="116E5241" w14:textId="77777777" w:rsidTr="0079560C">
        <w:trPr>
          <w:cantSplit/>
          <w:trHeight w:val="1540"/>
        </w:trPr>
        <w:tc>
          <w:tcPr>
            <w:tcW w:w="1917" w:type="dxa"/>
            <w:vAlign w:val="center"/>
          </w:tcPr>
          <w:p w14:paraId="3473119B" w14:textId="77777777" w:rsidR="00965056" w:rsidRPr="00916B56" w:rsidRDefault="00965056" w:rsidP="00965056">
            <w:pPr>
              <w:wordWrap w:val="0"/>
              <w:rPr>
                <w:rFonts w:ascii="Times New Roman" w:hAnsi="Times New Roman"/>
                <w:szCs w:val="21"/>
              </w:rPr>
            </w:pPr>
            <w:r w:rsidRPr="00916B56">
              <w:rPr>
                <w:rFonts w:ascii="Times New Roman" w:hAnsi="Times New Roman"/>
                <w:szCs w:val="21"/>
                <w:lang w:val="en-US"/>
              </w:rPr>
              <w:t>Agricultural Bank of China Limited - CSI 500 Trading Open-Ended Index Securities Investment Fund</w:t>
            </w:r>
          </w:p>
        </w:tc>
        <w:tc>
          <w:tcPr>
            <w:tcW w:w="1656" w:type="dxa"/>
            <w:vAlign w:val="center"/>
          </w:tcPr>
          <w:p w14:paraId="3D7741AC"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15,850,190</w:t>
            </w:r>
          </w:p>
        </w:tc>
        <w:tc>
          <w:tcPr>
            <w:tcW w:w="1559" w:type="dxa"/>
            <w:vAlign w:val="center"/>
          </w:tcPr>
          <w:p w14:paraId="231F3F93"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15,850,190</w:t>
            </w:r>
          </w:p>
        </w:tc>
        <w:tc>
          <w:tcPr>
            <w:tcW w:w="1134" w:type="dxa"/>
            <w:vAlign w:val="center"/>
          </w:tcPr>
          <w:p w14:paraId="00D6A6F3"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0.74</w:t>
            </w:r>
          </w:p>
        </w:tc>
        <w:tc>
          <w:tcPr>
            <w:tcW w:w="993" w:type="dxa"/>
            <w:vAlign w:val="center"/>
          </w:tcPr>
          <w:p w14:paraId="45CF62C3"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0</w:t>
            </w:r>
          </w:p>
        </w:tc>
        <w:tc>
          <w:tcPr>
            <w:tcW w:w="850" w:type="dxa"/>
            <w:vAlign w:val="center"/>
          </w:tcPr>
          <w:p w14:paraId="400CAC4E" w14:textId="77777777" w:rsidR="00965056" w:rsidRPr="00916B56" w:rsidRDefault="00965056" w:rsidP="00965056">
            <w:pPr>
              <w:jc w:val="center"/>
              <w:rPr>
                <w:rFonts w:ascii="Times New Roman" w:eastAsiaTheme="majorEastAsia" w:hAnsi="Times New Roman"/>
                <w:sz w:val="21"/>
                <w:szCs w:val="21"/>
              </w:rPr>
            </w:pPr>
            <w:r w:rsidRPr="00916B56">
              <w:rPr>
                <w:rFonts w:ascii="Times New Roman" w:eastAsiaTheme="majorEastAsia" w:hAnsi="Times New Roman" w:hint="eastAsia"/>
                <w:sz w:val="21"/>
                <w:szCs w:val="21"/>
              </w:rPr>
              <w:t>n</w:t>
            </w:r>
            <w:r w:rsidRPr="00916B56">
              <w:rPr>
                <w:rFonts w:ascii="Times New Roman" w:eastAsiaTheme="majorEastAsia" w:hAnsi="Times New Roman"/>
                <w:sz w:val="21"/>
                <w:szCs w:val="21"/>
              </w:rPr>
              <w:t>one</w:t>
            </w:r>
          </w:p>
        </w:tc>
        <w:tc>
          <w:tcPr>
            <w:tcW w:w="1276" w:type="dxa"/>
            <w:vAlign w:val="center"/>
          </w:tcPr>
          <w:p w14:paraId="413B0CFE" w14:textId="77777777" w:rsidR="00965056" w:rsidRPr="00916B56" w:rsidRDefault="00965056" w:rsidP="00965056">
            <w:pPr>
              <w:jc w:val="right"/>
              <w:rPr>
                <w:rFonts w:ascii="Times New Roman" w:hAnsi="Times New Roman"/>
                <w:szCs w:val="21"/>
              </w:rPr>
            </w:pPr>
          </w:p>
        </w:tc>
      </w:tr>
      <w:tr w:rsidR="00965056" w:rsidRPr="00916B56" w14:paraId="3D6BBFE9" w14:textId="77777777" w:rsidTr="0079560C">
        <w:trPr>
          <w:cantSplit/>
          <w:trHeight w:val="305"/>
        </w:trPr>
        <w:tc>
          <w:tcPr>
            <w:tcW w:w="1917" w:type="dxa"/>
            <w:vAlign w:val="center"/>
          </w:tcPr>
          <w:p w14:paraId="50564341" w14:textId="77777777" w:rsidR="00965056" w:rsidRPr="00916B56" w:rsidRDefault="00965056" w:rsidP="00965056">
            <w:pPr>
              <w:wordWrap w:val="0"/>
              <w:rPr>
                <w:rFonts w:ascii="Times New Roman" w:hAnsi="Times New Roman"/>
                <w:sz w:val="21"/>
                <w:szCs w:val="21"/>
              </w:rPr>
            </w:pPr>
            <w:r w:rsidRPr="00916B56">
              <w:rPr>
                <w:rFonts w:ascii="Times New Roman" w:hAnsi="Times New Roman"/>
                <w:sz w:val="21"/>
                <w:szCs w:val="21"/>
              </w:rPr>
              <w:t>National Social Security Fund Portfolio 502</w:t>
            </w:r>
          </w:p>
        </w:tc>
        <w:tc>
          <w:tcPr>
            <w:tcW w:w="1656" w:type="dxa"/>
            <w:vAlign w:val="center"/>
          </w:tcPr>
          <w:p w14:paraId="185F04EF"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13,669,335</w:t>
            </w:r>
          </w:p>
        </w:tc>
        <w:tc>
          <w:tcPr>
            <w:tcW w:w="1559" w:type="dxa"/>
            <w:vAlign w:val="center"/>
          </w:tcPr>
          <w:p w14:paraId="104D0305"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13,669,335</w:t>
            </w:r>
          </w:p>
        </w:tc>
        <w:tc>
          <w:tcPr>
            <w:tcW w:w="1134" w:type="dxa"/>
            <w:vAlign w:val="center"/>
          </w:tcPr>
          <w:p w14:paraId="75798126"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hint="eastAsia"/>
                <w:sz w:val="21"/>
                <w:szCs w:val="21"/>
              </w:rPr>
              <w:t>0.64</w:t>
            </w:r>
          </w:p>
        </w:tc>
        <w:tc>
          <w:tcPr>
            <w:tcW w:w="993" w:type="dxa"/>
            <w:vAlign w:val="center"/>
          </w:tcPr>
          <w:p w14:paraId="515C80B2" w14:textId="77777777" w:rsidR="00965056" w:rsidRPr="00916B56" w:rsidRDefault="00965056" w:rsidP="00965056">
            <w:pPr>
              <w:jc w:val="right"/>
              <w:rPr>
                <w:rFonts w:ascii="Times New Roman" w:eastAsiaTheme="majorEastAsia" w:hAnsi="Times New Roman"/>
                <w:sz w:val="21"/>
                <w:szCs w:val="21"/>
              </w:rPr>
            </w:pPr>
            <w:r w:rsidRPr="00916B56">
              <w:rPr>
                <w:rFonts w:ascii="Times New Roman" w:eastAsiaTheme="majorEastAsia" w:hAnsi="Times New Roman"/>
                <w:sz w:val="21"/>
                <w:szCs w:val="21"/>
              </w:rPr>
              <w:t>0</w:t>
            </w:r>
          </w:p>
        </w:tc>
        <w:tc>
          <w:tcPr>
            <w:tcW w:w="850" w:type="dxa"/>
            <w:vAlign w:val="center"/>
          </w:tcPr>
          <w:p w14:paraId="64C20A19" w14:textId="77777777" w:rsidR="00965056" w:rsidRPr="00916B56" w:rsidRDefault="00965056" w:rsidP="00965056">
            <w:pPr>
              <w:jc w:val="center"/>
              <w:rPr>
                <w:rFonts w:ascii="Times New Roman" w:eastAsiaTheme="majorEastAsia" w:hAnsi="Times New Roman"/>
                <w:sz w:val="21"/>
                <w:szCs w:val="21"/>
              </w:rPr>
            </w:pPr>
            <w:r w:rsidRPr="00916B56">
              <w:rPr>
                <w:rFonts w:ascii="Times New Roman" w:eastAsiaTheme="majorEastAsia" w:hAnsi="Times New Roman"/>
                <w:sz w:val="21"/>
                <w:szCs w:val="21"/>
              </w:rPr>
              <w:t>none</w:t>
            </w:r>
          </w:p>
        </w:tc>
        <w:tc>
          <w:tcPr>
            <w:tcW w:w="1276" w:type="dxa"/>
            <w:vAlign w:val="center"/>
          </w:tcPr>
          <w:p w14:paraId="030A4E55" w14:textId="77777777" w:rsidR="00965056" w:rsidRPr="00916B56" w:rsidRDefault="00965056" w:rsidP="00965056">
            <w:pPr>
              <w:jc w:val="center"/>
              <w:rPr>
                <w:rFonts w:ascii="Times New Roman" w:hAnsi="Times New Roman"/>
                <w:sz w:val="21"/>
                <w:szCs w:val="21"/>
              </w:rPr>
            </w:pPr>
          </w:p>
        </w:tc>
      </w:tr>
    </w:tbl>
    <w:p w14:paraId="69AE2DDA" w14:textId="77777777" w:rsidR="00915114" w:rsidRPr="00916B56" w:rsidRDefault="00915114" w:rsidP="00915114">
      <w:pPr>
        <w:spacing w:line="276" w:lineRule="auto"/>
        <w:ind w:firstLineChars="200" w:firstLine="420"/>
        <w:jc w:val="right"/>
        <w:rPr>
          <w:rFonts w:ascii="Times New Roman" w:hAnsi="Times New Roman" w:cs="Times New Roman"/>
          <w:szCs w:val="21"/>
          <w:lang w:val="en"/>
        </w:rPr>
      </w:pPr>
    </w:p>
    <w:p w14:paraId="5A21FDBA" w14:textId="77777777" w:rsidR="00915114" w:rsidRPr="00916B56" w:rsidRDefault="00915114" w:rsidP="00915114">
      <w:pPr>
        <w:spacing w:line="276" w:lineRule="auto"/>
        <w:ind w:firstLineChars="200" w:firstLine="420"/>
        <w:jc w:val="right"/>
        <w:rPr>
          <w:rFonts w:ascii="Times New Roman" w:hAnsi="Times New Roman" w:cs="Times New Roman"/>
          <w:szCs w:val="21"/>
          <w:lang w:val="en"/>
        </w:rPr>
      </w:pPr>
    </w:p>
    <w:p w14:paraId="650FBA3C" w14:textId="77777777" w:rsidR="00915114" w:rsidRPr="00916B56" w:rsidRDefault="00915114" w:rsidP="00915114">
      <w:pPr>
        <w:jc w:val="right"/>
        <w:rPr>
          <w:rFonts w:ascii="Times New Roman" w:hAnsi="Times New Roman" w:cs="Times New Roman"/>
          <w:szCs w:val="21"/>
          <w:lang w:val="en"/>
        </w:rPr>
      </w:pPr>
      <w:r w:rsidRPr="00916B56">
        <w:rPr>
          <w:rFonts w:ascii="Times New Roman" w:hAnsi="Times New Roman" w:cs="Times New Roman"/>
          <w:szCs w:val="21"/>
          <w:lang w:val="en"/>
        </w:rPr>
        <w:t>Shanghai</w:t>
      </w:r>
      <w:r w:rsidR="00E63A80" w:rsidRPr="00916B56">
        <w:rPr>
          <w:rFonts w:ascii="Times New Roman" w:hAnsi="Times New Roman" w:cs="Times New Roman"/>
          <w:szCs w:val="21"/>
          <w:lang w:val="en"/>
        </w:rPr>
        <w:t xml:space="preserve"> </w:t>
      </w:r>
      <w:proofErr w:type="spellStart"/>
      <w:r w:rsidR="00E63A80" w:rsidRPr="00916B56">
        <w:rPr>
          <w:rFonts w:ascii="Times New Roman" w:hAnsi="Times New Roman" w:cs="Times New Roman"/>
          <w:szCs w:val="21"/>
          <w:lang w:val="en"/>
        </w:rPr>
        <w:t>Putailai</w:t>
      </w:r>
      <w:proofErr w:type="spellEnd"/>
      <w:r w:rsidR="00E63A80" w:rsidRPr="00916B56">
        <w:rPr>
          <w:rFonts w:ascii="Times New Roman" w:hAnsi="Times New Roman" w:cs="Times New Roman"/>
          <w:szCs w:val="21"/>
          <w:lang w:val="en"/>
        </w:rPr>
        <w:t xml:space="preserve"> New Energy Technology Group </w:t>
      </w:r>
      <w:r w:rsidRPr="00916B56">
        <w:rPr>
          <w:rFonts w:ascii="Times New Roman" w:hAnsi="Times New Roman" w:cs="Times New Roman"/>
          <w:szCs w:val="21"/>
          <w:lang w:val="en"/>
        </w:rPr>
        <w:t>Co., Ltd.</w:t>
      </w:r>
    </w:p>
    <w:p w14:paraId="27687EB1" w14:textId="77777777" w:rsidR="00007BA7" w:rsidRPr="00916B56" w:rsidRDefault="00007BA7" w:rsidP="00915114">
      <w:pPr>
        <w:rPr>
          <w:rFonts w:ascii="Times New Roman" w:hAnsi="Times New Roman" w:cs="Times New Roman"/>
          <w:szCs w:val="21"/>
          <w:lang w:val="en"/>
        </w:rPr>
      </w:pPr>
    </w:p>
    <w:sectPr w:rsidR="00007BA7" w:rsidRPr="00916B5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D698E" w14:textId="77777777" w:rsidR="000C1788" w:rsidRDefault="000C1788">
      <w:r>
        <w:separator/>
      </w:r>
    </w:p>
  </w:endnote>
  <w:endnote w:type="continuationSeparator" w:id="0">
    <w:p w14:paraId="05F32D88" w14:textId="77777777" w:rsidR="000C1788" w:rsidRDefault="000C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5DF56" w14:textId="77777777" w:rsidR="000C1788" w:rsidRDefault="000C1788">
      <w:r>
        <w:separator/>
      </w:r>
    </w:p>
  </w:footnote>
  <w:footnote w:type="continuationSeparator" w:id="0">
    <w:p w14:paraId="1C79FCEC" w14:textId="77777777" w:rsidR="000C1788" w:rsidRDefault="000C17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AA8B" w14:textId="77777777" w:rsidR="0079560C" w:rsidRDefault="0079560C" w:rsidP="0079560C">
    <w:pPr>
      <w:pStyle w:val="a4"/>
      <w:jc w:val="left"/>
    </w:pPr>
    <w:r>
      <w:rPr>
        <w:noProof/>
        <w:lang w:val="en-US"/>
      </w:rPr>
      <w:drawing>
        <wp:inline distT="0" distB="0" distL="0" distR="0" wp14:anchorId="513C5984" wp14:editId="13430841">
          <wp:extent cx="962214" cy="322746"/>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标志.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444" cy="352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AB5"/>
    <w:multiLevelType w:val="hybridMultilevel"/>
    <w:tmpl w:val="130639BC"/>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 w15:restartNumberingAfterBreak="0">
    <w:nsid w:val="054F54F2"/>
    <w:multiLevelType w:val="hybridMultilevel"/>
    <w:tmpl w:val="2EB89618"/>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 w15:restartNumberingAfterBreak="0">
    <w:nsid w:val="06743F47"/>
    <w:multiLevelType w:val="hybridMultilevel"/>
    <w:tmpl w:val="AA888FB6"/>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06C272BD"/>
    <w:multiLevelType w:val="hybridMultilevel"/>
    <w:tmpl w:val="2CF29F1E"/>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 w15:restartNumberingAfterBreak="0">
    <w:nsid w:val="0F9748A0"/>
    <w:multiLevelType w:val="hybridMultilevel"/>
    <w:tmpl w:val="C5503F40"/>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13E15A32"/>
    <w:multiLevelType w:val="hybridMultilevel"/>
    <w:tmpl w:val="5BD8F3B0"/>
    <w:lvl w:ilvl="0" w:tplc="DB96B12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8436BB5"/>
    <w:multiLevelType w:val="hybridMultilevel"/>
    <w:tmpl w:val="F83256B4"/>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7" w15:restartNumberingAfterBreak="0">
    <w:nsid w:val="1F134310"/>
    <w:multiLevelType w:val="hybridMultilevel"/>
    <w:tmpl w:val="9BFEE25A"/>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204F3B0A"/>
    <w:multiLevelType w:val="multilevel"/>
    <w:tmpl w:val="A4A265BC"/>
    <w:lvl w:ilvl="0">
      <w:start w:val="1"/>
      <w:numFmt w:val="chineseCountingThousand"/>
      <w:lvlText w:val="(%1)"/>
      <w:lvlJc w:val="left"/>
      <w:pPr>
        <w:ind w:left="0" w:firstLine="0"/>
      </w:pPr>
      <w:rPr>
        <w:rFonts w:hint="default"/>
      </w:rPr>
    </w:lvl>
    <w:lvl w:ilvl="1">
      <w:start w:val="1"/>
      <w:numFmt w:val="decimal"/>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0506380"/>
    <w:multiLevelType w:val="hybridMultilevel"/>
    <w:tmpl w:val="D77A1636"/>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246C0E3A"/>
    <w:multiLevelType w:val="multilevel"/>
    <w:tmpl w:val="0AA00B50"/>
    <w:lvl w:ilvl="0">
      <w:start w:val="1"/>
      <w:numFmt w:val="decimal"/>
      <w:lvlText w:val="(%1). "/>
      <w:lvlJc w:val="left"/>
      <w:pPr>
        <w:ind w:left="425" w:hanging="425"/>
      </w:pPr>
      <w:rPr>
        <w:rFonts w:hint="eastAsia"/>
        <w:color w:val="auto"/>
        <w:u w:val="none"/>
      </w:rPr>
    </w:lvl>
    <w:lvl w:ilvl="1">
      <w:start w:val="1"/>
      <w:numFmt w:val="upperLetter"/>
      <w:lvlText w:val="%2."/>
      <w:lvlJc w:val="left"/>
      <w:pPr>
        <w:ind w:left="567" w:hanging="567"/>
      </w:pPr>
      <w:rPr>
        <w:rFonts w:hint="eastAsia"/>
        <w:strike w:val="0"/>
        <w:color w:val="auto"/>
        <w:bdr w:val="none" w:sz="0" w:space="0" w:color="auto"/>
        <w:lang w:val="en"/>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6AA75C2"/>
    <w:multiLevelType w:val="hybridMultilevel"/>
    <w:tmpl w:val="99700724"/>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15:restartNumberingAfterBreak="0">
    <w:nsid w:val="279961B1"/>
    <w:multiLevelType w:val="hybridMultilevel"/>
    <w:tmpl w:val="2D207C42"/>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3" w15:restartNumberingAfterBreak="0">
    <w:nsid w:val="2A0B1461"/>
    <w:multiLevelType w:val="hybridMultilevel"/>
    <w:tmpl w:val="0FB29EC6"/>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4" w15:restartNumberingAfterBreak="0">
    <w:nsid w:val="2D2C3901"/>
    <w:multiLevelType w:val="hybridMultilevel"/>
    <w:tmpl w:val="89DADCD4"/>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5" w15:restartNumberingAfterBreak="0">
    <w:nsid w:val="2E97208D"/>
    <w:multiLevelType w:val="hybridMultilevel"/>
    <w:tmpl w:val="23BC3578"/>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6" w15:restartNumberingAfterBreak="0">
    <w:nsid w:val="2EE07FA7"/>
    <w:multiLevelType w:val="hybridMultilevel"/>
    <w:tmpl w:val="50D21DA4"/>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7" w15:restartNumberingAfterBreak="0">
    <w:nsid w:val="34130DA3"/>
    <w:multiLevelType w:val="hybridMultilevel"/>
    <w:tmpl w:val="F0D8119C"/>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35442C4E"/>
    <w:multiLevelType w:val="hybridMultilevel"/>
    <w:tmpl w:val="CFCA1834"/>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9A34214"/>
    <w:multiLevelType w:val="hybridMultilevel"/>
    <w:tmpl w:val="13201712"/>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0" w15:restartNumberingAfterBreak="0">
    <w:nsid w:val="4CF046CF"/>
    <w:multiLevelType w:val="hybridMultilevel"/>
    <w:tmpl w:val="878EF324"/>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1" w15:restartNumberingAfterBreak="0">
    <w:nsid w:val="635B660A"/>
    <w:multiLevelType w:val="hybridMultilevel"/>
    <w:tmpl w:val="9392E9D8"/>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2" w15:restartNumberingAfterBreak="0">
    <w:nsid w:val="66D1227A"/>
    <w:multiLevelType w:val="hybridMultilevel"/>
    <w:tmpl w:val="5C18766E"/>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3" w15:restartNumberingAfterBreak="0">
    <w:nsid w:val="684A2AC7"/>
    <w:multiLevelType w:val="hybridMultilevel"/>
    <w:tmpl w:val="D85849D4"/>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4" w15:restartNumberingAfterBreak="0">
    <w:nsid w:val="6CAF43A5"/>
    <w:multiLevelType w:val="hybridMultilevel"/>
    <w:tmpl w:val="6D26D7A6"/>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5" w15:restartNumberingAfterBreak="0">
    <w:nsid w:val="7130137B"/>
    <w:multiLevelType w:val="hybridMultilevel"/>
    <w:tmpl w:val="FC5E3770"/>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6" w15:restartNumberingAfterBreak="0">
    <w:nsid w:val="72950BBF"/>
    <w:multiLevelType w:val="hybridMultilevel"/>
    <w:tmpl w:val="BD2E1E8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7" w15:restartNumberingAfterBreak="0">
    <w:nsid w:val="734A33F2"/>
    <w:multiLevelType w:val="hybridMultilevel"/>
    <w:tmpl w:val="4DC620B0"/>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8" w15:restartNumberingAfterBreak="0">
    <w:nsid w:val="7B791D61"/>
    <w:multiLevelType w:val="hybridMultilevel"/>
    <w:tmpl w:val="C0202A2C"/>
    <w:lvl w:ilvl="0" w:tplc="DB96B12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abstractNumId w:val="10"/>
  </w:num>
  <w:num w:numId="2">
    <w:abstractNumId w:val="8"/>
  </w:num>
  <w:num w:numId="3">
    <w:abstractNumId w:val="19"/>
  </w:num>
  <w:num w:numId="4">
    <w:abstractNumId w:val="3"/>
  </w:num>
  <w:num w:numId="5">
    <w:abstractNumId w:val="5"/>
  </w:num>
  <w:num w:numId="6">
    <w:abstractNumId w:val="13"/>
  </w:num>
  <w:num w:numId="7">
    <w:abstractNumId w:val="25"/>
  </w:num>
  <w:num w:numId="8">
    <w:abstractNumId w:val="1"/>
  </w:num>
  <w:num w:numId="9">
    <w:abstractNumId w:val="22"/>
  </w:num>
  <w:num w:numId="10">
    <w:abstractNumId w:val="24"/>
  </w:num>
  <w:num w:numId="11">
    <w:abstractNumId w:val="2"/>
  </w:num>
  <w:num w:numId="12">
    <w:abstractNumId w:val="20"/>
  </w:num>
  <w:num w:numId="13">
    <w:abstractNumId w:val="7"/>
  </w:num>
  <w:num w:numId="14">
    <w:abstractNumId w:val="17"/>
  </w:num>
  <w:num w:numId="15">
    <w:abstractNumId w:val="4"/>
  </w:num>
  <w:num w:numId="16">
    <w:abstractNumId w:val="18"/>
  </w:num>
  <w:num w:numId="17">
    <w:abstractNumId w:val="9"/>
  </w:num>
  <w:num w:numId="18">
    <w:abstractNumId w:val="23"/>
  </w:num>
  <w:num w:numId="19">
    <w:abstractNumId w:val="21"/>
  </w:num>
  <w:num w:numId="20">
    <w:abstractNumId w:val="12"/>
  </w:num>
  <w:num w:numId="21">
    <w:abstractNumId w:val="6"/>
  </w:num>
  <w:num w:numId="22">
    <w:abstractNumId w:val="14"/>
  </w:num>
  <w:num w:numId="23">
    <w:abstractNumId w:val="15"/>
  </w:num>
  <w:num w:numId="24">
    <w:abstractNumId w:val="27"/>
  </w:num>
  <w:num w:numId="25">
    <w:abstractNumId w:val="26"/>
  </w:num>
  <w:num w:numId="26">
    <w:abstractNumId w:val="28"/>
  </w:num>
  <w:num w:numId="27">
    <w:abstractNumId w:val="11"/>
  </w:num>
  <w:num w:numId="28">
    <w:abstractNumId w:val="1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 w:vendorID="64" w:dllVersion="6"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114"/>
    <w:rsid w:val="00007BA7"/>
    <w:rsid w:val="000241E2"/>
    <w:rsid w:val="00036AF1"/>
    <w:rsid w:val="0005037A"/>
    <w:rsid w:val="0006142A"/>
    <w:rsid w:val="00072A8E"/>
    <w:rsid w:val="00073EEC"/>
    <w:rsid w:val="00077242"/>
    <w:rsid w:val="0008344C"/>
    <w:rsid w:val="000B3687"/>
    <w:rsid w:val="000C1788"/>
    <w:rsid w:val="000C58D4"/>
    <w:rsid w:val="000E2856"/>
    <w:rsid w:val="000E410F"/>
    <w:rsid w:val="000E5116"/>
    <w:rsid w:val="000F5337"/>
    <w:rsid w:val="001004CB"/>
    <w:rsid w:val="001104F4"/>
    <w:rsid w:val="0011377B"/>
    <w:rsid w:val="00124B80"/>
    <w:rsid w:val="00133CF1"/>
    <w:rsid w:val="00141B44"/>
    <w:rsid w:val="00142E9F"/>
    <w:rsid w:val="00144209"/>
    <w:rsid w:val="001633E3"/>
    <w:rsid w:val="00165863"/>
    <w:rsid w:val="00165D0C"/>
    <w:rsid w:val="0017399F"/>
    <w:rsid w:val="001763CA"/>
    <w:rsid w:val="001847D7"/>
    <w:rsid w:val="00185948"/>
    <w:rsid w:val="001A6E02"/>
    <w:rsid w:val="001B23D2"/>
    <w:rsid w:val="001B3BD2"/>
    <w:rsid w:val="001C54F4"/>
    <w:rsid w:val="001D5395"/>
    <w:rsid w:val="001E73E3"/>
    <w:rsid w:val="001F001D"/>
    <w:rsid w:val="001F448E"/>
    <w:rsid w:val="001F496C"/>
    <w:rsid w:val="001F5BF2"/>
    <w:rsid w:val="001F7365"/>
    <w:rsid w:val="001F7CA9"/>
    <w:rsid w:val="00204087"/>
    <w:rsid w:val="0020557B"/>
    <w:rsid w:val="00216CFF"/>
    <w:rsid w:val="002215EF"/>
    <w:rsid w:val="002221D5"/>
    <w:rsid w:val="00224208"/>
    <w:rsid w:val="002258DF"/>
    <w:rsid w:val="002468D1"/>
    <w:rsid w:val="00256CC1"/>
    <w:rsid w:val="002649A4"/>
    <w:rsid w:val="0026508D"/>
    <w:rsid w:val="0027204B"/>
    <w:rsid w:val="00274F71"/>
    <w:rsid w:val="00287ED6"/>
    <w:rsid w:val="00293209"/>
    <w:rsid w:val="00294957"/>
    <w:rsid w:val="002A6FEA"/>
    <w:rsid w:val="002C28A1"/>
    <w:rsid w:val="002D46FA"/>
    <w:rsid w:val="002D791B"/>
    <w:rsid w:val="002E2219"/>
    <w:rsid w:val="002E35AF"/>
    <w:rsid w:val="002E3F8A"/>
    <w:rsid w:val="002E57DA"/>
    <w:rsid w:val="002F00A9"/>
    <w:rsid w:val="002F0FA4"/>
    <w:rsid w:val="002F14E4"/>
    <w:rsid w:val="00312ECF"/>
    <w:rsid w:val="00324D56"/>
    <w:rsid w:val="00325DD4"/>
    <w:rsid w:val="0033539B"/>
    <w:rsid w:val="00344B88"/>
    <w:rsid w:val="00345D31"/>
    <w:rsid w:val="00346254"/>
    <w:rsid w:val="003532B1"/>
    <w:rsid w:val="00353410"/>
    <w:rsid w:val="00355199"/>
    <w:rsid w:val="00355D79"/>
    <w:rsid w:val="003614F3"/>
    <w:rsid w:val="00367475"/>
    <w:rsid w:val="00371090"/>
    <w:rsid w:val="00371D6C"/>
    <w:rsid w:val="003745CD"/>
    <w:rsid w:val="00376D64"/>
    <w:rsid w:val="00380ED1"/>
    <w:rsid w:val="00381944"/>
    <w:rsid w:val="0038439A"/>
    <w:rsid w:val="003910D5"/>
    <w:rsid w:val="00394A43"/>
    <w:rsid w:val="003A3DC6"/>
    <w:rsid w:val="003B41A5"/>
    <w:rsid w:val="003C0EEF"/>
    <w:rsid w:val="003D468B"/>
    <w:rsid w:val="003D567B"/>
    <w:rsid w:val="003D7AF3"/>
    <w:rsid w:val="003E2E3B"/>
    <w:rsid w:val="003F0AAB"/>
    <w:rsid w:val="003F2855"/>
    <w:rsid w:val="003F4217"/>
    <w:rsid w:val="00406550"/>
    <w:rsid w:val="00410B23"/>
    <w:rsid w:val="00424D45"/>
    <w:rsid w:val="00431BA7"/>
    <w:rsid w:val="00445291"/>
    <w:rsid w:val="00464551"/>
    <w:rsid w:val="004754A4"/>
    <w:rsid w:val="004910CC"/>
    <w:rsid w:val="004912E7"/>
    <w:rsid w:val="00492E78"/>
    <w:rsid w:val="00493E91"/>
    <w:rsid w:val="004952A3"/>
    <w:rsid w:val="00496294"/>
    <w:rsid w:val="004978C9"/>
    <w:rsid w:val="004B0738"/>
    <w:rsid w:val="004C209A"/>
    <w:rsid w:val="004D2FB4"/>
    <w:rsid w:val="004E1594"/>
    <w:rsid w:val="004E683D"/>
    <w:rsid w:val="00510041"/>
    <w:rsid w:val="00517A39"/>
    <w:rsid w:val="0052748D"/>
    <w:rsid w:val="005369E7"/>
    <w:rsid w:val="00547672"/>
    <w:rsid w:val="0055281D"/>
    <w:rsid w:val="0056318F"/>
    <w:rsid w:val="0057269E"/>
    <w:rsid w:val="0057548F"/>
    <w:rsid w:val="0058390A"/>
    <w:rsid w:val="00583E76"/>
    <w:rsid w:val="00585270"/>
    <w:rsid w:val="00585ED1"/>
    <w:rsid w:val="005A211B"/>
    <w:rsid w:val="005A357B"/>
    <w:rsid w:val="005A67F9"/>
    <w:rsid w:val="005B17F8"/>
    <w:rsid w:val="005C05CF"/>
    <w:rsid w:val="005D0509"/>
    <w:rsid w:val="005D58B0"/>
    <w:rsid w:val="005E2B61"/>
    <w:rsid w:val="005E30C9"/>
    <w:rsid w:val="005E535A"/>
    <w:rsid w:val="006029F3"/>
    <w:rsid w:val="00604CCF"/>
    <w:rsid w:val="00623253"/>
    <w:rsid w:val="00650FCA"/>
    <w:rsid w:val="006512F8"/>
    <w:rsid w:val="006635C7"/>
    <w:rsid w:val="0067262D"/>
    <w:rsid w:val="00693770"/>
    <w:rsid w:val="006C0B1D"/>
    <w:rsid w:val="006C42C4"/>
    <w:rsid w:val="006E5C02"/>
    <w:rsid w:val="006F3141"/>
    <w:rsid w:val="006F3EEF"/>
    <w:rsid w:val="006F5E22"/>
    <w:rsid w:val="006F64D6"/>
    <w:rsid w:val="00702085"/>
    <w:rsid w:val="00704E89"/>
    <w:rsid w:val="00710381"/>
    <w:rsid w:val="007127B0"/>
    <w:rsid w:val="00732F7D"/>
    <w:rsid w:val="007461FB"/>
    <w:rsid w:val="007465D7"/>
    <w:rsid w:val="0075599E"/>
    <w:rsid w:val="00756DE6"/>
    <w:rsid w:val="00760A3D"/>
    <w:rsid w:val="00792EB2"/>
    <w:rsid w:val="00793FEF"/>
    <w:rsid w:val="0079560C"/>
    <w:rsid w:val="00796C2C"/>
    <w:rsid w:val="007A10D9"/>
    <w:rsid w:val="007A4449"/>
    <w:rsid w:val="007A4C24"/>
    <w:rsid w:val="007A6879"/>
    <w:rsid w:val="007B1BD3"/>
    <w:rsid w:val="007C084F"/>
    <w:rsid w:val="007C2F84"/>
    <w:rsid w:val="007C3C9E"/>
    <w:rsid w:val="007D6E5F"/>
    <w:rsid w:val="007E30BB"/>
    <w:rsid w:val="007F42A0"/>
    <w:rsid w:val="007F67E1"/>
    <w:rsid w:val="0081410D"/>
    <w:rsid w:val="00814CBC"/>
    <w:rsid w:val="00824084"/>
    <w:rsid w:val="008377A1"/>
    <w:rsid w:val="008452F0"/>
    <w:rsid w:val="008905CD"/>
    <w:rsid w:val="00896D0C"/>
    <w:rsid w:val="008978E1"/>
    <w:rsid w:val="008B2507"/>
    <w:rsid w:val="008B417C"/>
    <w:rsid w:val="008C571E"/>
    <w:rsid w:val="008F099A"/>
    <w:rsid w:val="008F4CC9"/>
    <w:rsid w:val="008F6F5E"/>
    <w:rsid w:val="008F7546"/>
    <w:rsid w:val="0090521F"/>
    <w:rsid w:val="0091007F"/>
    <w:rsid w:val="009128DC"/>
    <w:rsid w:val="00915114"/>
    <w:rsid w:val="00916B56"/>
    <w:rsid w:val="00916B63"/>
    <w:rsid w:val="0092201E"/>
    <w:rsid w:val="009340BF"/>
    <w:rsid w:val="00944BAD"/>
    <w:rsid w:val="00944DCA"/>
    <w:rsid w:val="00965056"/>
    <w:rsid w:val="009669A2"/>
    <w:rsid w:val="00970BA5"/>
    <w:rsid w:val="00975CA9"/>
    <w:rsid w:val="00983E80"/>
    <w:rsid w:val="00984E49"/>
    <w:rsid w:val="00986A1A"/>
    <w:rsid w:val="0099271D"/>
    <w:rsid w:val="00997C06"/>
    <w:rsid w:val="009A2E49"/>
    <w:rsid w:val="009A4039"/>
    <w:rsid w:val="009A7ECD"/>
    <w:rsid w:val="009B5278"/>
    <w:rsid w:val="009C372A"/>
    <w:rsid w:val="009C7C96"/>
    <w:rsid w:val="009E3BA6"/>
    <w:rsid w:val="009F07BB"/>
    <w:rsid w:val="009F59A9"/>
    <w:rsid w:val="00A04AB2"/>
    <w:rsid w:val="00A13BAF"/>
    <w:rsid w:val="00A25410"/>
    <w:rsid w:val="00A4664E"/>
    <w:rsid w:val="00A62259"/>
    <w:rsid w:val="00A62A32"/>
    <w:rsid w:val="00A66F2E"/>
    <w:rsid w:val="00A7575F"/>
    <w:rsid w:val="00A80E69"/>
    <w:rsid w:val="00A9379A"/>
    <w:rsid w:val="00A96077"/>
    <w:rsid w:val="00A97744"/>
    <w:rsid w:val="00A97AFE"/>
    <w:rsid w:val="00AA1F00"/>
    <w:rsid w:val="00AA27EA"/>
    <w:rsid w:val="00AA403F"/>
    <w:rsid w:val="00AB4D33"/>
    <w:rsid w:val="00AB710A"/>
    <w:rsid w:val="00AB7BC5"/>
    <w:rsid w:val="00AC06FA"/>
    <w:rsid w:val="00AC126D"/>
    <w:rsid w:val="00AC7B60"/>
    <w:rsid w:val="00AD23F2"/>
    <w:rsid w:val="00AD2A2F"/>
    <w:rsid w:val="00AD5E13"/>
    <w:rsid w:val="00AF7F8E"/>
    <w:rsid w:val="00B010C0"/>
    <w:rsid w:val="00B108E1"/>
    <w:rsid w:val="00B1235C"/>
    <w:rsid w:val="00B15B23"/>
    <w:rsid w:val="00B1750A"/>
    <w:rsid w:val="00B3531F"/>
    <w:rsid w:val="00B4220E"/>
    <w:rsid w:val="00B43690"/>
    <w:rsid w:val="00B47619"/>
    <w:rsid w:val="00B52935"/>
    <w:rsid w:val="00B52998"/>
    <w:rsid w:val="00B5705B"/>
    <w:rsid w:val="00B664DF"/>
    <w:rsid w:val="00B74F1A"/>
    <w:rsid w:val="00B74FC3"/>
    <w:rsid w:val="00B75ABD"/>
    <w:rsid w:val="00B85427"/>
    <w:rsid w:val="00B93590"/>
    <w:rsid w:val="00B93B3D"/>
    <w:rsid w:val="00B95247"/>
    <w:rsid w:val="00BA4B41"/>
    <w:rsid w:val="00BB1FCE"/>
    <w:rsid w:val="00BB2AB2"/>
    <w:rsid w:val="00BB4259"/>
    <w:rsid w:val="00BC07BA"/>
    <w:rsid w:val="00BD3B83"/>
    <w:rsid w:val="00BD61BA"/>
    <w:rsid w:val="00BF4C69"/>
    <w:rsid w:val="00C016A5"/>
    <w:rsid w:val="00C03552"/>
    <w:rsid w:val="00C035CF"/>
    <w:rsid w:val="00C05BAF"/>
    <w:rsid w:val="00C1345F"/>
    <w:rsid w:val="00C141D1"/>
    <w:rsid w:val="00C15A60"/>
    <w:rsid w:val="00C15B95"/>
    <w:rsid w:val="00C201C3"/>
    <w:rsid w:val="00C23F3E"/>
    <w:rsid w:val="00C32B1C"/>
    <w:rsid w:val="00C3609E"/>
    <w:rsid w:val="00C37F0A"/>
    <w:rsid w:val="00C413D7"/>
    <w:rsid w:val="00C43E46"/>
    <w:rsid w:val="00C523DD"/>
    <w:rsid w:val="00C71F87"/>
    <w:rsid w:val="00C83D96"/>
    <w:rsid w:val="00C87A22"/>
    <w:rsid w:val="00C96586"/>
    <w:rsid w:val="00CA28E7"/>
    <w:rsid w:val="00CA4C92"/>
    <w:rsid w:val="00CB1A08"/>
    <w:rsid w:val="00CC71BF"/>
    <w:rsid w:val="00CD40AB"/>
    <w:rsid w:val="00CD4922"/>
    <w:rsid w:val="00CE347C"/>
    <w:rsid w:val="00CF2FDB"/>
    <w:rsid w:val="00CF3D05"/>
    <w:rsid w:val="00D038ED"/>
    <w:rsid w:val="00D06890"/>
    <w:rsid w:val="00D15983"/>
    <w:rsid w:val="00D266A3"/>
    <w:rsid w:val="00D27915"/>
    <w:rsid w:val="00D30BA4"/>
    <w:rsid w:val="00D37112"/>
    <w:rsid w:val="00D52FF6"/>
    <w:rsid w:val="00D53226"/>
    <w:rsid w:val="00D72C06"/>
    <w:rsid w:val="00D74CDB"/>
    <w:rsid w:val="00D7637A"/>
    <w:rsid w:val="00DA1E8E"/>
    <w:rsid w:val="00DC553B"/>
    <w:rsid w:val="00DC6F7E"/>
    <w:rsid w:val="00DD7339"/>
    <w:rsid w:val="00E03566"/>
    <w:rsid w:val="00E10B58"/>
    <w:rsid w:val="00E1555C"/>
    <w:rsid w:val="00E249F1"/>
    <w:rsid w:val="00E33635"/>
    <w:rsid w:val="00E36C4D"/>
    <w:rsid w:val="00E57297"/>
    <w:rsid w:val="00E62B14"/>
    <w:rsid w:val="00E63A80"/>
    <w:rsid w:val="00E7686E"/>
    <w:rsid w:val="00E83265"/>
    <w:rsid w:val="00E87676"/>
    <w:rsid w:val="00EA3064"/>
    <w:rsid w:val="00EA6A1B"/>
    <w:rsid w:val="00EB2ED6"/>
    <w:rsid w:val="00EC0EAF"/>
    <w:rsid w:val="00EC140C"/>
    <w:rsid w:val="00EC6BFA"/>
    <w:rsid w:val="00ED2C74"/>
    <w:rsid w:val="00EE067D"/>
    <w:rsid w:val="00F07645"/>
    <w:rsid w:val="00F1294F"/>
    <w:rsid w:val="00F22933"/>
    <w:rsid w:val="00F24690"/>
    <w:rsid w:val="00F25706"/>
    <w:rsid w:val="00F3679B"/>
    <w:rsid w:val="00F40BC5"/>
    <w:rsid w:val="00F5320F"/>
    <w:rsid w:val="00F53991"/>
    <w:rsid w:val="00F711EB"/>
    <w:rsid w:val="00F8249A"/>
    <w:rsid w:val="00F91D58"/>
    <w:rsid w:val="00F92CF2"/>
    <w:rsid w:val="00F966F1"/>
    <w:rsid w:val="00FA00DC"/>
    <w:rsid w:val="00FA52B1"/>
    <w:rsid w:val="00FA607F"/>
    <w:rsid w:val="00FB4F92"/>
    <w:rsid w:val="00FB6A89"/>
    <w:rsid w:val="00FC60B4"/>
    <w:rsid w:val="00FD02C7"/>
    <w:rsid w:val="00FD0F1A"/>
    <w:rsid w:val="00FD58D8"/>
    <w:rsid w:val="00FD5E4B"/>
    <w:rsid w:val="00FD62A6"/>
    <w:rsid w:val="00FE17FC"/>
    <w:rsid w:val="00FE4263"/>
    <w:rsid w:val="00FF58E4"/>
    <w:rsid w:val="00FF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BDA90A"/>
  <w15:chartTrackingRefBased/>
  <w15:docId w15:val="{AC6C490C-9B1C-4906-9CC7-264A869C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5114"/>
    <w:pPr>
      <w:pBdr>
        <w:bottom w:val="single" w:sz="6" w:space="1" w:color="auto"/>
      </w:pBdr>
      <w:tabs>
        <w:tab w:val="center" w:pos="4153"/>
        <w:tab w:val="right" w:pos="8306"/>
      </w:tabs>
      <w:snapToGrid w:val="0"/>
      <w:jc w:val="center"/>
    </w:pPr>
    <w:rPr>
      <w:sz w:val="18"/>
      <w:szCs w:val="18"/>
      <w:lang w:val="en"/>
    </w:rPr>
  </w:style>
  <w:style w:type="character" w:customStyle="1" w:styleId="a5">
    <w:name w:val="页眉 字符"/>
    <w:basedOn w:val="a0"/>
    <w:link w:val="a4"/>
    <w:uiPriority w:val="99"/>
    <w:rsid w:val="00915114"/>
    <w:rPr>
      <w:sz w:val="18"/>
      <w:szCs w:val="18"/>
      <w:lang w:val="en"/>
    </w:rPr>
  </w:style>
  <w:style w:type="table" w:customStyle="1" w:styleId="g1">
    <w:name w:val="g1"/>
    <w:uiPriority w:val="99"/>
    <w:semiHidden/>
    <w:unhideWhenUsed/>
    <w:rsid w:val="00915114"/>
    <w:rPr>
      <w:rFonts w:ascii="Calibri" w:eastAsia="宋体" w:hAnsi="Calibri" w:cs="Times New Roman"/>
      <w:kern w:val="0"/>
      <w:sz w:val="20"/>
      <w:szCs w:val="20"/>
      <w:lang w:val="en"/>
    </w:rPr>
    <w:tblPr>
      <w:tblInd w:w="0" w:type="dxa"/>
      <w:tblCellMar>
        <w:top w:w="0" w:type="dxa"/>
        <w:left w:w="108" w:type="dxa"/>
        <w:bottom w:w="0" w:type="dxa"/>
        <w:right w:w="108" w:type="dxa"/>
      </w:tblCellMar>
    </w:tblPr>
  </w:style>
  <w:style w:type="table" w:customStyle="1" w:styleId="1">
    <w:name w:val="网格型1"/>
    <w:basedOn w:val="a1"/>
    <w:next w:val="a3"/>
    <w:uiPriority w:val="59"/>
    <w:rsid w:val="00915114"/>
    <w:pPr>
      <w:widowControl w:val="0"/>
      <w:jc w:val="both"/>
    </w:pPr>
    <w:rPr>
      <w:rFonts w:ascii="Times New Roman" w:eastAsia="宋体" w:hAnsi="Times New Roman" w:cs="Times New Roman"/>
      <w:kern w:val="0"/>
      <w:sz w:val="20"/>
      <w:szCs w:val="2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5114"/>
    <w:rPr>
      <w:sz w:val="18"/>
      <w:szCs w:val="18"/>
    </w:rPr>
  </w:style>
  <w:style w:type="character" w:customStyle="1" w:styleId="a7">
    <w:name w:val="批注框文本 字符"/>
    <w:basedOn w:val="a0"/>
    <w:link w:val="a6"/>
    <w:uiPriority w:val="99"/>
    <w:semiHidden/>
    <w:rsid w:val="00915114"/>
    <w:rPr>
      <w:sz w:val="18"/>
      <w:szCs w:val="18"/>
    </w:rPr>
  </w:style>
  <w:style w:type="paragraph" w:styleId="a8">
    <w:name w:val="List Paragraph"/>
    <w:basedOn w:val="a"/>
    <w:uiPriority w:val="34"/>
    <w:qFormat/>
    <w:rsid w:val="00141B44"/>
    <w:pPr>
      <w:ind w:firstLineChars="200" w:firstLine="420"/>
    </w:pPr>
  </w:style>
  <w:style w:type="paragraph" w:styleId="a9">
    <w:name w:val="footer"/>
    <w:basedOn w:val="a"/>
    <w:link w:val="aa"/>
    <w:uiPriority w:val="99"/>
    <w:unhideWhenUsed/>
    <w:rsid w:val="00A62A32"/>
    <w:pPr>
      <w:tabs>
        <w:tab w:val="center" w:pos="4153"/>
        <w:tab w:val="right" w:pos="8306"/>
      </w:tabs>
      <w:snapToGrid w:val="0"/>
      <w:jc w:val="left"/>
    </w:pPr>
    <w:rPr>
      <w:sz w:val="18"/>
      <w:szCs w:val="18"/>
    </w:rPr>
  </w:style>
  <w:style w:type="character" w:customStyle="1" w:styleId="aa">
    <w:name w:val="页脚 字符"/>
    <w:basedOn w:val="a0"/>
    <w:link w:val="a9"/>
    <w:uiPriority w:val="99"/>
    <w:rsid w:val="00A62A32"/>
    <w:rPr>
      <w:sz w:val="18"/>
      <w:szCs w:val="18"/>
    </w:rPr>
  </w:style>
  <w:style w:type="paragraph" w:styleId="ab">
    <w:name w:val="Normal (Web)"/>
    <w:basedOn w:val="a"/>
    <w:uiPriority w:val="99"/>
    <w:semiHidden/>
    <w:unhideWhenUsed/>
    <w:rsid w:val="00C360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951">
      <w:bodyDiv w:val="1"/>
      <w:marLeft w:val="0"/>
      <w:marRight w:val="0"/>
      <w:marTop w:val="0"/>
      <w:marBottom w:val="0"/>
      <w:divBdr>
        <w:top w:val="none" w:sz="0" w:space="0" w:color="auto"/>
        <w:left w:val="none" w:sz="0" w:space="0" w:color="auto"/>
        <w:bottom w:val="none" w:sz="0" w:space="0" w:color="auto"/>
        <w:right w:val="none" w:sz="0" w:space="0" w:color="auto"/>
      </w:divBdr>
    </w:div>
    <w:div w:id="103968538">
      <w:bodyDiv w:val="1"/>
      <w:marLeft w:val="0"/>
      <w:marRight w:val="0"/>
      <w:marTop w:val="0"/>
      <w:marBottom w:val="0"/>
      <w:divBdr>
        <w:top w:val="none" w:sz="0" w:space="0" w:color="auto"/>
        <w:left w:val="none" w:sz="0" w:space="0" w:color="auto"/>
        <w:bottom w:val="none" w:sz="0" w:space="0" w:color="auto"/>
        <w:right w:val="none" w:sz="0" w:space="0" w:color="auto"/>
      </w:divBdr>
    </w:div>
    <w:div w:id="188685715">
      <w:bodyDiv w:val="1"/>
      <w:marLeft w:val="0"/>
      <w:marRight w:val="0"/>
      <w:marTop w:val="0"/>
      <w:marBottom w:val="0"/>
      <w:divBdr>
        <w:top w:val="none" w:sz="0" w:space="0" w:color="auto"/>
        <w:left w:val="none" w:sz="0" w:space="0" w:color="auto"/>
        <w:bottom w:val="none" w:sz="0" w:space="0" w:color="auto"/>
        <w:right w:val="none" w:sz="0" w:space="0" w:color="auto"/>
      </w:divBdr>
    </w:div>
    <w:div w:id="262996336">
      <w:bodyDiv w:val="1"/>
      <w:marLeft w:val="0"/>
      <w:marRight w:val="0"/>
      <w:marTop w:val="0"/>
      <w:marBottom w:val="0"/>
      <w:divBdr>
        <w:top w:val="none" w:sz="0" w:space="0" w:color="auto"/>
        <w:left w:val="none" w:sz="0" w:space="0" w:color="auto"/>
        <w:bottom w:val="none" w:sz="0" w:space="0" w:color="auto"/>
        <w:right w:val="none" w:sz="0" w:space="0" w:color="auto"/>
      </w:divBdr>
      <w:divsChild>
        <w:div w:id="106853364">
          <w:marLeft w:val="0"/>
          <w:marRight w:val="0"/>
          <w:marTop w:val="0"/>
          <w:marBottom w:val="0"/>
          <w:divBdr>
            <w:top w:val="single" w:sz="2" w:space="0" w:color="E3E3E3"/>
            <w:left w:val="single" w:sz="2" w:space="0" w:color="E3E3E3"/>
            <w:bottom w:val="single" w:sz="2" w:space="0" w:color="E3E3E3"/>
            <w:right w:val="single" w:sz="2" w:space="0" w:color="E3E3E3"/>
          </w:divBdr>
          <w:divsChild>
            <w:div w:id="1098864583">
              <w:marLeft w:val="0"/>
              <w:marRight w:val="0"/>
              <w:marTop w:val="0"/>
              <w:marBottom w:val="0"/>
              <w:divBdr>
                <w:top w:val="single" w:sz="2" w:space="0" w:color="E3E3E3"/>
                <w:left w:val="single" w:sz="2" w:space="0" w:color="E3E3E3"/>
                <w:bottom w:val="single" w:sz="2" w:space="0" w:color="E3E3E3"/>
                <w:right w:val="single" w:sz="2" w:space="0" w:color="E3E3E3"/>
              </w:divBdr>
              <w:divsChild>
                <w:div w:id="1857111340">
                  <w:marLeft w:val="0"/>
                  <w:marRight w:val="0"/>
                  <w:marTop w:val="0"/>
                  <w:marBottom w:val="0"/>
                  <w:divBdr>
                    <w:top w:val="single" w:sz="2" w:space="0" w:color="E3E3E3"/>
                    <w:left w:val="single" w:sz="2" w:space="0" w:color="E3E3E3"/>
                    <w:bottom w:val="single" w:sz="2" w:space="0" w:color="E3E3E3"/>
                    <w:right w:val="single" w:sz="2" w:space="0" w:color="E3E3E3"/>
                  </w:divBdr>
                  <w:divsChild>
                    <w:div w:id="22098417">
                      <w:marLeft w:val="0"/>
                      <w:marRight w:val="0"/>
                      <w:marTop w:val="0"/>
                      <w:marBottom w:val="0"/>
                      <w:divBdr>
                        <w:top w:val="single" w:sz="2" w:space="0" w:color="E3E3E3"/>
                        <w:left w:val="single" w:sz="2" w:space="0" w:color="E3E3E3"/>
                        <w:bottom w:val="single" w:sz="2" w:space="0" w:color="E3E3E3"/>
                        <w:right w:val="single" w:sz="2" w:space="0" w:color="E3E3E3"/>
                      </w:divBdr>
                      <w:divsChild>
                        <w:div w:id="1626815128">
                          <w:marLeft w:val="0"/>
                          <w:marRight w:val="0"/>
                          <w:marTop w:val="0"/>
                          <w:marBottom w:val="0"/>
                          <w:divBdr>
                            <w:top w:val="single" w:sz="2" w:space="0" w:color="E3E3E3"/>
                            <w:left w:val="single" w:sz="2" w:space="0" w:color="E3E3E3"/>
                            <w:bottom w:val="single" w:sz="2" w:space="0" w:color="E3E3E3"/>
                            <w:right w:val="single" w:sz="2" w:space="0" w:color="E3E3E3"/>
                          </w:divBdr>
                          <w:divsChild>
                            <w:div w:id="304893923">
                              <w:marLeft w:val="0"/>
                              <w:marRight w:val="0"/>
                              <w:marTop w:val="0"/>
                              <w:marBottom w:val="0"/>
                              <w:divBdr>
                                <w:top w:val="single" w:sz="2" w:space="0" w:color="E3E3E3"/>
                                <w:left w:val="single" w:sz="2" w:space="0" w:color="E3E3E3"/>
                                <w:bottom w:val="single" w:sz="2" w:space="0" w:color="E3E3E3"/>
                                <w:right w:val="single" w:sz="2" w:space="0" w:color="E3E3E3"/>
                              </w:divBdr>
                              <w:divsChild>
                                <w:div w:id="1886483431">
                                  <w:marLeft w:val="0"/>
                                  <w:marRight w:val="0"/>
                                  <w:marTop w:val="100"/>
                                  <w:marBottom w:val="100"/>
                                  <w:divBdr>
                                    <w:top w:val="single" w:sz="2" w:space="0" w:color="E3E3E3"/>
                                    <w:left w:val="single" w:sz="2" w:space="0" w:color="E3E3E3"/>
                                    <w:bottom w:val="single" w:sz="2" w:space="0" w:color="E3E3E3"/>
                                    <w:right w:val="single" w:sz="2" w:space="0" w:color="E3E3E3"/>
                                  </w:divBdr>
                                  <w:divsChild>
                                    <w:div w:id="78714714">
                                      <w:marLeft w:val="0"/>
                                      <w:marRight w:val="0"/>
                                      <w:marTop w:val="0"/>
                                      <w:marBottom w:val="0"/>
                                      <w:divBdr>
                                        <w:top w:val="single" w:sz="2" w:space="0" w:color="E3E3E3"/>
                                        <w:left w:val="single" w:sz="2" w:space="0" w:color="E3E3E3"/>
                                        <w:bottom w:val="single" w:sz="2" w:space="0" w:color="E3E3E3"/>
                                        <w:right w:val="single" w:sz="2" w:space="0" w:color="E3E3E3"/>
                                      </w:divBdr>
                                      <w:divsChild>
                                        <w:div w:id="1394309916">
                                          <w:marLeft w:val="0"/>
                                          <w:marRight w:val="0"/>
                                          <w:marTop w:val="0"/>
                                          <w:marBottom w:val="0"/>
                                          <w:divBdr>
                                            <w:top w:val="single" w:sz="2" w:space="0" w:color="E3E3E3"/>
                                            <w:left w:val="single" w:sz="2" w:space="0" w:color="E3E3E3"/>
                                            <w:bottom w:val="single" w:sz="2" w:space="0" w:color="E3E3E3"/>
                                            <w:right w:val="single" w:sz="2" w:space="0" w:color="E3E3E3"/>
                                          </w:divBdr>
                                          <w:divsChild>
                                            <w:div w:id="991182217">
                                              <w:marLeft w:val="0"/>
                                              <w:marRight w:val="0"/>
                                              <w:marTop w:val="0"/>
                                              <w:marBottom w:val="0"/>
                                              <w:divBdr>
                                                <w:top w:val="single" w:sz="2" w:space="0" w:color="E3E3E3"/>
                                                <w:left w:val="single" w:sz="2" w:space="0" w:color="E3E3E3"/>
                                                <w:bottom w:val="single" w:sz="2" w:space="0" w:color="E3E3E3"/>
                                                <w:right w:val="single" w:sz="2" w:space="0" w:color="E3E3E3"/>
                                              </w:divBdr>
                                              <w:divsChild>
                                                <w:div w:id="349532480">
                                                  <w:marLeft w:val="0"/>
                                                  <w:marRight w:val="0"/>
                                                  <w:marTop w:val="0"/>
                                                  <w:marBottom w:val="0"/>
                                                  <w:divBdr>
                                                    <w:top w:val="single" w:sz="2" w:space="0" w:color="E3E3E3"/>
                                                    <w:left w:val="single" w:sz="2" w:space="0" w:color="E3E3E3"/>
                                                    <w:bottom w:val="single" w:sz="2" w:space="0" w:color="E3E3E3"/>
                                                    <w:right w:val="single" w:sz="2" w:space="0" w:color="E3E3E3"/>
                                                  </w:divBdr>
                                                  <w:divsChild>
                                                    <w:div w:id="44452549">
                                                      <w:marLeft w:val="0"/>
                                                      <w:marRight w:val="0"/>
                                                      <w:marTop w:val="0"/>
                                                      <w:marBottom w:val="0"/>
                                                      <w:divBdr>
                                                        <w:top w:val="single" w:sz="2" w:space="0" w:color="E3E3E3"/>
                                                        <w:left w:val="single" w:sz="2" w:space="0" w:color="E3E3E3"/>
                                                        <w:bottom w:val="single" w:sz="2" w:space="0" w:color="E3E3E3"/>
                                                        <w:right w:val="single" w:sz="2" w:space="0" w:color="E3E3E3"/>
                                                      </w:divBdr>
                                                      <w:divsChild>
                                                        <w:div w:id="1253395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29835193">
          <w:marLeft w:val="0"/>
          <w:marRight w:val="0"/>
          <w:marTop w:val="0"/>
          <w:marBottom w:val="0"/>
          <w:divBdr>
            <w:top w:val="none" w:sz="0" w:space="0" w:color="auto"/>
            <w:left w:val="none" w:sz="0" w:space="0" w:color="auto"/>
            <w:bottom w:val="none" w:sz="0" w:space="0" w:color="auto"/>
            <w:right w:val="none" w:sz="0" w:space="0" w:color="auto"/>
          </w:divBdr>
        </w:div>
      </w:divsChild>
    </w:div>
    <w:div w:id="607271943">
      <w:bodyDiv w:val="1"/>
      <w:marLeft w:val="0"/>
      <w:marRight w:val="0"/>
      <w:marTop w:val="0"/>
      <w:marBottom w:val="0"/>
      <w:divBdr>
        <w:top w:val="none" w:sz="0" w:space="0" w:color="auto"/>
        <w:left w:val="none" w:sz="0" w:space="0" w:color="auto"/>
        <w:bottom w:val="none" w:sz="0" w:space="0" w:color="auto"/>
        <w:right w:val="none" w:sz="0" w:space="0" w:color="auto"/>
      </w:divBdr>
    </w:div>
    <w:div w:id="659037224">
      <w:bodyDiv w:val="1"/>
      <w:marLeft w:val="0"/>
      <w:marRight w:val="0"/>
      <w:marTop w:val="0"/>
      <w:marBottom w:val="0"/>
      <w:divBdr>
        <w:top w:val="none" w:sz="0" w:space="0" w:color="auto"/>
        <w:left w:val="none" w:sz="0" w:space="0" w:color="auto"/>
        <w:bottom w:val="none" w:sz="0" w:space="0" w:color="auto"/>
        <w:right w:val="none" w:sz="0" w:space="0" w:color="auto"/>
      </w:divBdr>
      <w:divsChild>
        <w:div w:id="479226457">
          <w:marLeft w:val="0"/>
          <w:marRight w:val="0"/>
          <w:marTop w:val="0"/>
          <w:marBottom w:val="0"/>
          <w:divBdr>
            <w:top w:val="none" w:sz="0" w:space="0" w:color="auto"/>
            <w:left w:val="none" w:sz="0" w:space="0" w:color="auto"/>
            <w:bottom w:val="none" w:sz="0" w:space="0" w:color="auto"/>
            <w:right w:val="none" w:sz="0" w:space="0" w:color="auto"/>
          </w:divBdr>
        </w:div>
      </w:divsChild>
    </w:div>
    <w:div w:id="745224989">
      <w:bodyDiv w:val="1"/>
      <w:marLeft w:val="0"/>
      <w:marRight w:val="0"/>
      <w:marTop w:val="0"/>
      <w:marBottom w:val="0"/>
      <w:divBdr>
        <w:top w:val="none" w:sz="0" w:space="0" w:color="auto"/>
        <w:left w:val="none" w:sz="0" w:space="0" w:color="auto"/>
        <w:bottom w:val="none" w:sz="0" w:space="0" w:color="auto"/>
        <w:right w:val="none" w:sz="0" w:space="0" w:color="auto"/>
      </w:divBdr>
    </w:div>
    <w:div w:id="1190947376">
      <w:bodyDiv w:val="1"/>
      <w:marLeft w:val="0"/>
      <w:marRight w:val="0"/>
      <w:marTop w:val="0"/>
      <w:marBottom w:val="0"/>
      <w:divBdr>
        <w:top w:val="none" w:sz="0" w:space="0" w:color="auto"/>
        <w:left w:val="none" w:sz="0" w:space="0" w:color="auto"/>
        <w:bottom w:val="none" w:sz="0" w:space="0" w:color="auto"/>
        <w:right w:val="none" w:sz="0" w:space="0" w:color="auto"/>
      </w:divBdr>
    </w:div>
    <w:div w:id="1221748274">
      <w:bodyDiv w:val="1"/>
      <w:marLeft w:val="0"/>
      <w:marRight w:val="0"/>
      <w:marTop w:val="0"/>
      <w:marBottom w:val="0"/>
      <w:divBdr>
        <w:top w:val="none" w:sz="0" w:space="0" w:color="auto"/>
        <w:left w:val="none" w:sz="0" w:space="0" w:color="auto"/>
        <w:bottom w:val="none" w:sz="0" w:space="0" w:color="auto"/>
        <w:right w:val="none" w:sz="0" w:space="0" w:color="auto"/>
      </w:divBdr>
    </w:div>
    <w:div w:id="1233152191">
      <w:bodyDiv w:val="1"/>
      <w:marLeft w:val="0"/>
      <w:marRight w:val="0"/>
      <w:marTop w:val="0"/>
      <w:marBottom w:val="0"/>
      <w:divBdr>
        <w:top w:val="none" w:sz="0" w:space="0" w:color="auto"/>
        <w:left w:val="none" w:sz="0" w:space="0" w:color="auto"/>
        <w:bottom w:val="none" w:sz="0" w:space="0" w:color="auto"/>
        <w:right w:val="none" w:sz="0" w:space="0" w:color="auto"/>
      </w:divBdr>
    </w:div>
    <w:div w:id="1360742727">
      <w:bodyDiv w:val="1"/>
      <w:marLeft w:val="0"/>
      <w:marRight w:val="0"/>
      <w:marTop w:val="0"/>
      <w:marBottom w:val="0"/>
      <w:divBdr>
        <w:top w:val="none" w:sz="0" w:space="0" w:color="auto"/>
        <w:left w:val="none" w:sz="0" w:space="0" w:color="auto"/>
        <w:bottom w:val="none" w:sz="0" w:space="0" w:color="auto"/>
        <w:right w:val="none" w:sz="0" w:space="0" w:color="auto"/>
      </w:divBdr>
    </w:div>
    <w:div w:id="1478763804">
      <w:bodyDiv w:val="1"/>
      <w:marLeft w:val="0"/>
      <w:marRight w:val="0"/>
      <w:marTop w:val="0"/>
      <w:marBottom w:val="0"/>
      <w:divBdr>
        <w:top w:val="none" w:sz="0" w:space="0" w:color="auto"/>
        <w:left w:val="none" w:sz="0" w:space="0" w:color="auto"/>
        <w:bottom w:val="none" w:sz="0" w:space="0" w:color="auto"/>
        <w:right w:val="none" w:sz="0" w:space="0" w:color="auto"/>
      </w:divBdr>
    </w:div>
    <w:div w:id="1698389779">
      <w:bodyDiv w:val="1"/>
      <w:marLeft w:val="0"/>
      <w:marRight w:val="0"/>
      <w:marTop w:val="0"/>
      <w:marBottom w:val="0"/>
      <w:divBdr>
        <w:top w:val="none" w:sz="0" w:space="0" w:color="auto"/>
        <w:left w:val="none" w:sz="0" w:space="0" w:color="auto"/>
        <w:bottom w:val="none" w:sz="0" w:space="0" w:color="auto"/>
        <w:right w:val="none" w:sz="0" w:space="0" w:color="auto"/>
      </w:divBdr>
    </w:div>
    <w:div w:id="1723867708">
      <w:bodyDiv w:val="1"/>
      <w:marLeft w:val="0"/>
      <w:marRight w:val="0"/>
      <w:marTop w:val="0"/>
      <w:marBottom w:val="0"/>
      <w:divBdr>
        <w:top w:val="none" w:sz="0" w:space="0" w:color="auto"/>
        <w:left w:val="none" w:sz="0" w:space="0" w:color="auto"/>
        <w:bottom w:val="none" w:sz="0" w:space="0" w:color="auto"/>
        <w:right w:val="none" w:sz="0" w:space="0" w:color="auto"/>
      </w:divBdr>
    </w:div>
    <w:div w:id="208425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0BE5-A88D-4DA8-AAC1-5DC34582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9147</TotalTime>
  <Pages>17</Pages>
  <Words>5736</Words>
  <Characters>32698</Characters>
  <Application>Microsoft Office Word</Application>
  <DocSecurity>0</DocSecurity>
  <Lines>272</Lines>
  <Paragraphs>76</Paragraphs>
  <ScaleCrop>false</ScaleCrop>
  <Company/>
  <LinksUpToDate>false</LinksUpToDate>
  <CharactersWithSpaces>38358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余浩</dc:creator>
  <cp:keywords/>
  <dc:description/>
  <cp:lastModifiedBy>余浩</cp:lastModifiedBy>
  <cp:revision>127</cp:revision>
  <cp:lastPrinted>2025-05-15T08:10:00Z</cp:lastPrinted>
  <dcterms:created xsi:type="dcterms:W3CDTF">2024-04-23T02:47:00Z</dcterms:created>
  <dcterms:modified xsi:type="dcterms:W3CDTF">2026-04-20T06:49:00Z</dcterms:modified>
</cp:coreProperties>
</file>