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52E" w:rsidRPr="00FA5209" w:rsidRDefault="00FF7444">
      <w:pPr>
        <w:jc w:val="center"/>
        <w:rPr>
          <w:rFonts w:ascii="Times New Roman" w:hAnsi="Times New Roman" w:cs="Times New Roman"/>
          <w:b/>
          <w:sz w:val="28"/>
          <w:lang w:val="en"/>
        </w:rPr>
      </w:pPr>
      <w:r w:rsidRPr="00FA5209">
        <w:rPr>
          <w:rFonts w:ascii="Times New Roman" w:hAnsi="Times New Roman" w:cs="Times New Roman"/>
          <w:b/>
          <w:sz w:val="28"/>
          <w:lang w:val="en"/>
        </w:rPr>
        <w:t xml:space="preserve">Shanghai </w:t>
      </w:r>
      <w:proofErr w:type="spellStart"/>
      <w:r w:rsidRPr="00FA5209">
        <w:rPr>
          <w:rFonts w:ascii="Times New Roman" w:hAnsi="Times New Roman" w:cs="Times New Roman"/>
          <w:b/>
          <w:sz w:val="28"/>
          <w:lang w:val="en"/>
        </w:rPr>
        <w:t>Putailai</w:t>
      </w:r>
      <w:proofErr w:type="spellEnd"/>
      <w:r w:rsidRPr="00FA5209">
        <w:rPr>
          <w:rFonts w:ascii="Times New Roman" w:hAnsi="Times New Roman" w:cs="Times New Roman"/>
          <w:b/>
          <w:sz w:val="28"/>
          <w:lang w:val="en"/>
        </w:rPr>
        <w:t xml:space="preserve"> New Energy Technology Co., Ltd.</w:t>
      </w:r>
    </w:p>
    <w:p w:rsidR="009C052E" w:rsidRPr="00FA5209" w:rsidRDefault="00D75774">
      <w:pPr>
        <w:jc w:val="center"/>
        <w:rPr>
          <w:rFonts w:ascii="Times New Roman" w:hAnsi="Times New Roman" w:cs="Times New Roman"/>
          <w:b/>
          <w:sz w:val="28"/>
          <w:lang w:val="en"/>
        </w:rPr>
      </w:pPr>
      <w:r>
        <w:rPr>
          <w:rFonts w:ascii="Times New Roman" w:hAnsi="Times New Roman" w:cs="Times New Roman"/>
          <w:b/>
          <w:sz w:val="28"/>
          <w:lang w:val="en"/>
        </w:rPr>
        <w:t>2025</w:t>
      </w:r>
      <w:r w:rsidR="00FF7444" w:rsidRPr="00FA5209">
        <w:rPr>
          <w:rFonts w:ascii="Times New Roman" w:hAnsi="Times New Roman" w:cs="Times New Roman"/>
          <w:b/>
          <w:sz w:val="28"/>
          <w:lang w:val="en"/>
        </w:rPr>
        <w:t xml:space="preserve"> Semi-annual Report Summary</w:t>
      </w:r>
    </w:p>
    <w:p w:rsidR="009C052E" w:rsidRPr="00FA5209" w:rsidRDefault="00FF7444">
      <w:pPr>
        <w:keepNext/>
        <w:keepLines/>
        <w:numPr>
          <w:ilvl w:val="1"/>
          <w:numId w:val="1"/>
        </w:numPr>
        <w:spacing w:before="60" w:after="60"/>
        <w:ind w:left="498" w:hangingChars="236" w:hanging="498"/>
        <w:outlineLvl w:val="1"/>
        <w:rPr>
          <w:rFonts w:ascii="Times New Roman" w:eastAsia="宋体" w:hAnsi="Times New Roman" w:cs="Times New Roman"/>
          <w:b/>
          <w:bCs/>
          <w:szCs w:val="21"/>
          <w:u w:val="single"/>
          <w:lang w:val="en"/>
        </w:rPr>
      </w:pPr>
      <w:bookmarkStart w:id="0" w:name="_Toc342051041"/>
      <w:bookmarkStart w:id="1" w:name="_Toc342565881"/>
      <w:r w:rsidRPr="00FA5209">
        <w:rPr>
          <w:rFonts w:ascii="Times New Roman" w:eastAsia="宋体" w:hAnsi="Times New Roman" w:cs="Times New Roman"/>
          <w:b/>
          <w:bCs/>
          <w:szCs w:val="21"/>
          <w:lang w:val="en"/>
        </w:rPr>
        <w:t>Company Information</w:t>
      </w:r>
      <w:bookmarkEnd w:id="0"/>
      <w:bookmarkEnd w:id="1"/>
      <w:r w:rsidRPr="00FA5209">
        <w:rPr>
          <w:rFonts w:ascii="Times New Roman" w:eastAsia="宋体" w:hAnsi="Times New Roman" w:cs="Times New Roman"/>
          <w:b/>
          <w:bCs/>
          <w:szCs w:val="21"/>
          <w:lang w:val="en"/>
        </w:rPr>
        <w:t xml:space="preserve"> </w:t>
      </w:r>
    </w:p>
    <w:tbl>
      <w:tblPr>
        <w:tblStyle w:val="g1"/>
        <w:tblW w:w="0" w:type="auto"/>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3255"/>
        <w:gridCol w:w="5041"/>
      </w:tblGrid>
      <w:tr w:rsidR="009C052E" w:rsidRPr="00FA5209">
        <w:trPr>
          <w:trHeight w:val="293"/>
        </w:trPr>
        <w:tc>
          <w:tcPr>
            <w:tcW w:w="3255" w:type="dxa"/>
            <w:tcBorders>
              <w:top w:val="single" w:sz="4" w:space="0" w:color="auto"/>
              <w:bottom w:val="single" w:sz="4" w:space="0" w:color="auto"/>
              <w:right w:val="single" w:sz="4" w:space="0" w:color="auto"/>
            </w:tcBorders>
            <w:shd w:val="clear" w:color="auto" w:fill="auto"/>
            <w:vAlign w:val="center"/>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Company Name</w:t>
            </w:r>
            <w:r w:rsidRPr="00FA5209">
              <w:rPr>
                <w:rFonts w:ascii="Times New Roman" w:hAnsi="Times New Roman"/>
              </w:rPr>
              <w:t xml:space="preserve"> (Chinese)</w:t>
            </w:r>
          </w:p>
        </w:tc>
        <w:tc>
          <w:tcPr>
            <w:tcW w:w="5041"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hint="eastAsia"/>
                <w:szCs w:val="21"/>
              </w:rPr>
              <w:t>上海璞泰来新能源科技股份有限公司</w:t>
            </w:r>
          </w:p>
        </w:tc>
      </w:tr>
      <w:tr w:rsidR="009C052E" w:rsidRPr="00FA5209">
        <w:trPr>
          <w:trHeight w:val="293"/>
        </w:trPr>
        <w:tc>
          <w:tcPr>
            <w:tcW w:w="3255" w:type="dxa"/>
            <w:tcBorders>
              <w:top w:val="single" w:sz="4" w:space="0" w:color="auto"/>
              <w:bottom w:val="single" w:sz="4" w:space="0" w:color="auto"/>
              <w:right w:val="single" w:sz="4" w:space="0" w:color="auto"/>
            </w:tcBorders>
            <w:shd w:val="clear" w:color="auto" w:fill="auto"/>
            <w:vAlign w:val="center"/>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Abbreviation (</w:t>
            </w:r>
            <w:r w:rsidRPr="00FA5209">
              <w:rPr>
                <w:rFonts w:ascii="Times New Roman" w:hAnsi="Times New Roman"/>
              </w:rPr>
              <w:t>Chinese)</w:t>
            </w:r>
            <w:r w:rsidRPr="00FA5209">
              <w:rPr>
                <w:rFonts w:ascii="Times New Roman" w:hAnsi="Times New Roman" w:hint="eastAsia"/>
              </w:rPr>
              <w:t xml:space="preserve"> </w:t>
            </w:r>
          </w:p>
        </w:tc>
        <w:tc>
          <w:tcPr>
            <w:tcW w:w="5041"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proofErr w:type="gramStart"/>
            <w:r w:rsidRPr="00FA5209">
              <w:rPr>
                <w:rFonts w:ascii="Times New Roman" w:hAnsi="Times New Roman" w:hint="eastAsia"/>
                <w:szCs w:val="21"/>
              </w:rPr>
              <w:t>璞</w:t>
            </w:r>
            <w:proofErr w:type="gramEnd"/>
            <w:r w:rsidRPr="00FA5209">
              <w:rPr>
                <w:rFonts w:ascii="Times New Roman" w:hAnsi="Times New Roman" w:hint="eastAsia"/>
                <w:szCs w:val="21"/>
              </w:rPr>
              <w:t>泰来</w:t>
            </w:r>
          </w:p>
        </w:tc>
      </w:tr>
      <w:tr w:rsidR="009C052E" w:rsidRPr="00FA5209">
        <w:trPr>
          <w:trHeight w:val="293"/>
        </w:trPr>
        <w:tc>
          <w:tcPr>
            <w:tcW w:w="3255" w:type="dxa"/>
            <w:tcBorders>
              <w:top w:val="single" w:sz="4" w:space="0" w:color="auto"/>
              <w:bottom w:val="single" w:sz="4" w:space="0" w:color="auto"/>
              <w:right w:val="single" w:sz="4" w:space="0" w:color="auto"/>
            </w:tcBorders>
            <w:shd w:val="clear" w:color="auto" w:fill="auto"/>
            <w:vAlign w:val="center"/>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Company Name</w:t>
            </w:r>
            <w:r w:rsidRPr="00FA5209">
              <w:rPr>
                <w:rFonts w:ascii="Times New Roman" w:hAnsi="Times New Roman"/>
              </w:rPr>
              <w:t xml:space="preserve"> (English)</w:t>
            </w:r>
          </w:p>
        </w:tc>
        <w:tc>
          <w:tcPr>
            <w:tcW w:w="5041"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rPr>
              <w:t xml:space="preserve">Shanghai </w:t>
            </w:r>
            <w:proofErr w:type="spellStart"/>
            <w:r w:rsidRPr="00FA5209">
              <w:rPr>
                <w:rFonts w:ascii="Times New Roman" w:hAnsi="Times New Roman"/>
              </w:rPr>
              <w:t>Putailai</w:t>
            </w:r>
            <w:proofErr w:type="spellEnd"/>
            <w:r w:rsidRPr="00FA5209">
              <w:rPr>
                <w:rFonts w:ascii="Times New Roman" w:hAnsi="Times New Roman"/>
              </w:rPr>
              <w:t xml:space="preserve"> New Energy Technology Co., Ltd.</w:t>
            </w:r>
          </w:p>
        </w:tc>
      </w:tr>
      <w:tr w:rsidR="009C052E" w:rsidRPr="00FA5209">
        <w:trPr>
          <w:trHeight w:val="293"/>
        </w:trPr>
        <w:tc>
          <w:tcPr>
            <w:tcW w:w="3255" w:type="dxa"/>
            <w:tcBorders>
              <w:top w:val="single" w:sz="4" w:space="0" w:color="auto"/>
              <w:bottom w:val="single" w:sz="4" w:space="0" w:color="auto"/>
              <w:right w:val="single" w:sz="4" w:space="0" w:color="auto"/>
            </w:tcBorders>
            <w:shd w:val="clear" w:color="auto" w:fill="auto"/>
            <w:vAlign w:val="center"/>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Abbreviation</w:t>
            </w:r>
            <w:r w:rsidRPr="00FA5209">
              <w:rPr>
                <w:rFonts w:ascii="Times New Roman" w:hAnsi="Times New Roman"/>
              </w:rPr>
              <w:t xml:space="preserve"> (English)</w:t>
            </w:r>
            <w:r w:rsidRPr="00FA5209">
              <w:rPr>
                <w:rFonts w:ascii="Times New Roman" w:hAnsi="Times New Roman" w:hint="eastAsia"/>
              </w:rPr>
              <w:t xml:space="preserve"> </w:t>
            </w:r>
          </w:p>
        </w:tc>
        <w:tc>
          <w:tcPr>
            <w:tcW w:w="5041"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proofErr w:type="spellStart"/>
            <w:r w:rsidRPr="00FA5209">
              <w:rPr>
                <w:rFonts w:ascii="Times New Roman" w:hAnsi="Times New Roman"/>
                <w:szCs w:val="21"/>
              </w:rPr>
              <w:t>Putailai</w:t>
            </w:r>
            <w:proofErr w:type="spellEnd"/>
            <w:r w:rsidRPr="00FA5209">
              <w:rPr>
                <w:rFonts w:ascii="Times New Roman" w:hAnsi="Times New Roman" w:hint="eastAsia"/>
                <w:szCs w:val="21"/>
              </w:rPr>
              <w:t>,</w:t>
            </w:r>
            <w:r w:rsidRPr="00FA5209">
              <w:rPr>
                <w:rFonts w:ascii="Times New Roman" w:hAnsi="Times New Roman"/>
                <w:szCs w:val="21"/>
              </w:rPr>
              <w:t xml:space="preserve"> </w:t>
            </w:r>
            <w:r w:rsidRPr="00FA5209">
              <w:rPr>
                <w:rFonts w:ascii="Times New Roman" w:hAnsi="Times New Roman" w:hint="eastAsia"/>
                <w:szCs w:val="21"/>
              </w:rPr>
              <w:t>PTL</w:t>
            </w:r>
          </w:p>
        </w:tc>
      </w:tr>
      <w:tr w:rsidR="009C052E" w:rsidRPr="00FA5209">
        <w:trPr>
          <w:trHeight w:val="293"/>
        </w:trPr>
        <w:tc>
          <w:tcPr>
            <w:tcW w:w="3255" w:type="dxa"/>
            <w:tcBorders>
              <w:top w:val="single" w:sz="4" w:space="0" w:color="auto"/>
              <w:bottom w:val="single" w:sz="4" w:space="0" w:color="auto"/>
              <w:right w:val="single" w:sz="4" w:space="0" w:color="auto"/>
            </w:tcBorders>
            <w:shd w:val="clear" w:color="auto" w:fill="auto"/>
            <w:vAlign w:val="center"/>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Legal Representative</w:t>
            </w:r>
          </w:p>
        </w:tc>
        <w:tc>
          <w:tcPr>
            <w:tcW w:w="5041"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hint="eastAsia"/>
                <w:szCs w:val="21"/>
              </w:rPr>
              <w:t>Liang Feng</w:t>
            </w:r>
          </w:p>
        </w:tc>
      </w:tr>
    </w:tbl>
    <w:p w:rsidR="009C052E" w:rsidRPr="00FA5209" w:rsidRDefault="009C052E">
      <w:pPr>
        <w:rPr>
          <w:rFonts w:ascii="Times New Roman" w:hAnsi="Times New Roman" w:cs="Times New Roman"/>
          <w:lang w:val="en"/>
        </w:rPr>
      </w:pPr>
    </w:p>
    <w:tbl>
      <w:tblPr>
        <w:tblStyle w:val="g1"/>
        <w:tblW w:w="0" w:type="auto"/>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988"/>
        <w:gridCol w:w="3543"/>
        <w:gridCol w:w="3765"/>
      </w:tblGrid>
      <w:tr w:rsidR="009C052E" w:rsidRPr="00FA5209">
        <w:tc>
          <w:tcPr>
            <w:tcW w:w="988" w:type="dxa"/>
            <w:tcBorders>
              <w:top w:val="single" w:sz="4" w:space="0" w:color="auto"/>
              <w:bottom w:val="single" w:sz="4" w:space="0" w:color="auto"/>
              <w:right w:val="single" w:sz="4" w:space="0" w:color="auto"/>
            </w:tcBorders>
            <w:shd w:val="clear" w:color="auto" w:fill="auto"/>
          </w:tcPr>
          <w:p w:rsidR="009C052E" w:rsidRPr="00F541B9" w:rsidRDefault="009C052E">
            <w:pPr>
              <w:kinsoku w:val="0"/>
              <w:overflowPunct w:val="0"/>
              <w:autoSpaceDE w:val="0"/>
              <w:autoSpaceDN w:val="0"/>
              <w:adjustRightInd w:val="0"/>
              <w:snapToGrid w:val="0"/>
              <w:rPr>
                <w:rFonts w:ascii="Times New Roman" w:hAnsi="Times New Roman"/>
                <w:b/>
                <w:szCs w:val="21"/>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9C052E" w:rsidRPr="00F541B9" w:rsidRDefault="00FF7444">
            <w:pPr>
              <w:kinsoku w:val="0"/>
              <w:overflowPunct w:val="0"/>
              <w:autoSpaceDE w:val="0"/>
              <w:autoSpaceDN w:val="0"/>
              <w:adjustRightInd w:val="0"/>
              <w:snapToGrid w:val="0"/>
              <w:jc w:val="center"/>
              <w:rPr>
                <w:rFonts w:ascii="Times New Roman" w:hAnsi="Times New Roman"/>
                <w:b/>
                <w:szCs w:val="21"/>
              </w:rPr>
            </w:pPr>
            <w:r w:rsidRPr="00F541B9">
              <w:rPr>
                <w:rFonts w:ascii="Times New Roman" w:hAnsi="Times New Roman"/>
                <w:b/>
                <w:szCs w:val="21"/>
              </w:rPr>
              <w:t>Secretary of the Board</w:t>
            </w:r>
          </w:p>
        </w:tc>
        <w:tc>
          <w:tcPr>
            <w:tcW w:w="3765" w:type="dxa"/>
            <w:tcBorders>
              <w:top w:val="single" w:sz="4" w:space="0" w:color="auto"/>
              <w:left w:val="single" w:sz="4" w:space="0" w:color="auto"/>
              <w:bottom w:val="single" w:sz="4" w:space="0" w:color="auto"/>
            </w:tcBorders>
            <w:shd w:val="clear" w:color="auto" w:fill="auto"/>
          </w:tcPr>
          <w:p w:rsidR="009C052E" w:rsidRPr="00F541B9" w:rsidRDefault="00FF7444">
            <w:pPr>
              <w:kinsoku w:val="0"/>
              <w:overflowPunct w:val="0"/>
              <w:autoSpaceDE w:val="0"/>
              <w:autoSpaceDN w:val="0"/>
              <w:adjustRightInd w:val="0"/>
              <w:snapToGrid w:val="0"/>
              <w:jc w:val="center"/>
              <w:rPr>
                <w:rFonts w:ascii="Times New Roman" w:hAnsi="Times New Roman"/>
                <w:b/>
                <w:szCs w:val="21"/>
              </w:rPr>
            </w:pPr>
            <w:r w:rsidRPr="00F541B9">
              <w:rPr>
                <w:rFonts w:ascii="Times New Roman" w:hAnsi="Times New Roman"/>
                <w:b/>
                <w:szCs w:val="21"/>
              </w:rPr>
              <w:t xml:space="preserve">Representative for Securities Affairs </w:t>
            </w:r>
          </w:p>
        </w:tc>
      </w:tr>
      <w:tr w:rsidR="009C052E" w:rsidRPr="00FA5209">
        <w:tc>
          <w:tcPr>
            <w:tcW w:w="988" w:type="dxa"/>
            <w:tcBorders>
              <w:top w:val="single" w:sz="4" w:space="0" w:color="auto"/>
              <w:bottom w:val="single" w:sz="4" w:space="0" w:color="auto"/>
              <w:right w:val="single" w:sz="4" w:space="0" w:color="auto"/>
            </w:tcBorders>
            <w:shd w:val="clear" w:color="auto" w:fill="auto"/>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Name</w:t>
            </w:r>
          </w:p>
        </w:tc>
        <w:tc>
          <w:tcPr>
            <w:tcW w:w="3543" w:type="dxa"/>
            <w:tcBorders>
              <w:top w:val="single" w:sz="4" w:space="0" w:color="auto"/>
              <w:left w:val="single" w:sz="4" w:space="0" w:color="auto"/>
              <w:bottom w:val="single" w:sz="4" w:space="0" w:color="auto"/>
              <w:right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proofErr w:type="spellStart"/>
            <w:r w:rsidRPr="00FA5209">
              <w:rPr>
                <w:rFonts w:ascii="Times New Roman" w:hAnsi="Times New Roman"/>
                <w:szCs w:val="21"/>
              </w:rPr>
              <w:t>Xiaoquan</w:t>
            </w:r>
            <w:proofErr w:type="spellEnd"/>
            <w:r w:rsidR="00E62137">
              <w:rPr>
                <w:rFonts w:ascii="Times New Roman" w:hAnsi="Times New Roman"/>
                <w:szCs w:val="21"/>
              </w:rPr>
              <w:t xml:space="preserve"> Zhang</w:t>
            </w:r>
          </w:p>
        </w:tc>
        <w:tc>
          <w:tcPr>
            <w:tcW w:w="3765"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proofErr w:type="spellStart"/>
            <w:r w:rsidRPr="00FA5209">
              <w:rPr>
                <w:rFonts w:ascii="Times New Roman" w:hAnsi="Times New Roman"/>
                <w:szCs w:val="21"/>
              </w:rPr>
              <w:t>W</w:t>
            </w:r>
            <w:r w:rsidRPr="00FA5209">
              <w:rPr>
                <w:rFonts w:ascii="Times New Roman" w:hAnsi="Times New Roman" w:hint="eastAsia"/>
                <w:szCs w:val="21"/>
              </w:rPr>
              <w:t>ensen</w:t>
            </w:r>
            <w:proofErr w:type="spellEnd"/>
            <w:r w:rsidR="00E62137">
              <w:rPr>
                <w:rFonts w:ascii="Times New Roman" w:hAnsi="Times New Roman"/>
                <w:szCs w:val="21"/>
              </w:rPr>
              <w:t xml:space="preserve"> Zhou</w:t>
            </w:r>
          </w:p>
        </w:tc>
      </w:tr>
      <w:tr w:rsidR="009C052E" w:rsidRPr="00FA5209">
        <w:tc>
          <w:tcPr>
            <w:tcW w:w="988" w:type="dxa"/>
            <w:tcBorders>
              <w:top w:val="single" w:sz="4" w:space="0" w:color="auto"/>
              <w:bottom w:val="single" w:sz="4" w:space="0" w:color="auto"/>
              <w:right w:val="single" w:sz="4" w:space="0" w:color="auto"/>
            </w:tcBorders>
            <w:shd w:val="clear" w:color="auto" w:fill="auto"/>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Address</w:t>
            </w:r>
          </w:p>
        </w:tc>
        <w:tc>
          <w:tcPr>
            <w:tcW w:w="3543" w:type="dxa"/>
            <w:tcBorders>
              <w:top w:val="single" w:sz="4" w:space="0" w:color="auto"/>
              <w:left w:val="single" w:sz="4" w:space="0" w:color="auto"/>
              <w:bottom w:val="single" w:sz="4" w:space="0" w:color="auto"/>
              <w:right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rPr>
              <w:t xml:space="preserve">No. 116, Lane 456, </w:t>
            </w:r>
            <w:proofErr w:type="spellStart"/>
            <w:r w:rsidRPr="00FA5209">
              <w:rPr>
                <w:rFonts w:ascii="Times New Roman" w:hAnsi="Times New Roman"/>
              </w:rPr>
              <w:t>Dieqiao</w:t>
            </w:r>
            <w:proofErr w:type="spellEnd"/>
            <w:r w:rsidRPr="00FA5209">
              <w:rPr>
                <w:rFonts w:ascii="Times New Roman" w:hAnsi="Times New Roman"/>
              </w:rPr>
              <w:t xml:space="preserve"> Road, </w:t>
            </w:r>
            <w:proofErr w:type="spellStart"/>
            <w:r w:rsidRPr="00FA5209">
              <w:rPr>
                <w:rFonts w:ascii="Times New Roman" w:hAnsi="Times New Roman"/>
              </w:rPr>
              <w:t>Pudong</w:t>
            </w:r>
            <w:proofErr w:type="spellEnd"/>
            <w:r w:rsidRPr="00FA5209">
              <w:rPr>
                <w:rFonts w:ascii="Times New Roman" w:hAnsi="Times New Roman"/>
              </w:rPr>
              <w:t xml:space="preserve"> New Area, Shanghai</w:t>
            </w:r>
          </w:p>
        </w:tc>
        <w:tc>
          <w:tcPr>
            <w:tcW w:w="3765"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 xml:space="preserve">No. 116, Lane 456, </w:t>
            </w:r>
            <w:proofErr w:type="spellStart"/>
            <w:r w:rsidRPr="00FA5209">
              <w:rPr>
                <w:rFonts w:ascii="Times New Roman" w:hAnsi="Times New Roman"/>
                <w:szCs w:val="21"/>
              </w:rPr>
              <w:t>Dieqiao</w:t>
            </w:r>
            <w:proofErr w:type="spellEnd"/>
            <w:r w:rsidRPr="00FA5209">
              <w:rPr>
                <w:rFonts w:ascii="Times New Roman" w:hAnsi="Times New Roman"/>
                <w:szCs w:val="21"/>
              </w:rPr>
              <w:t xml:space="preserve"> Road, </w:t>
            </w:r>
            <w:proofErr w:type="spellStart"/>
            <w:r w:rsidRPr="00FA5209">
              <w:rPr>
                <w:rFonts w:ascii="Times New Roman" w:hAnsi="Times New Roman"/>
                <w:szCs w:val="21"/>
              </w:rPr>
              <w:t>Pudong</w:t>
            </w:r>
            <w:proofErr w:type="spellEnd"/>
            <w:r w:rsidRPr="00FA5209">
              <w:rPr>
                <w:rFonts w:ascii="Times New Roman" w:hAnsi="Times New Roman"/>
                <w:szCs w:val="21"/>
              </w:rPr>
              <w:t xml:space="preserve"> New Area, Shanghai</w:t>
            </w:r>
          </w:p>
        </w:tc>
      </w:tr>
      <w:tr w:rsidR="009C052E" w:rsidRPr="00FA5209">
        <w:tc>
          <w:tcPr>
            <w:tcW w:w="988" w:type="dxa"/>
            <w:tcBorders>
              <w:top w:val="single" w:sz="4" w:space="0" w:color="auto"/>
              <w:bottom w:val="single" w:sz="4" w:space="0" w:color="auto"/>
              <w:right w:val="single" w:sz="4" w:space="0" w:color="auto"/>
            </w:tcBorders>
            <w:shd w:val="clear" w:color="auto" w:fill="auto"/>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Tel.</w:t>
            </w:r>
          </w:p>
        </w:tc>
        <w:tc>
          <w:tcPr>
            <w:tcW w:w="3543" w:type="dxa"/>
            <w:tcBorders>
              <w:top w:val="single" w:sz="4" w:space="0" w:color="auto"/>
              <w:left w:val="single" w:sz="4" w:space="0" w:color="auto"/>
              <w:bottom w:val="single" w:sz="4" w:space="0" w:color="auto"/>
              <w:right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rPr>
              <w:t>(021) 61902930</w:t>
            </w:r>
          </w:p>
        </w:tc>
        <w:tc>
          <w:tcPr>
            <w:tcW w:w="3765"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rPr>
              <w:t>(021) 61902930</w:t>
            </w:r>
          </w:p>
        </w:tc>
      </w:tr>
      <w:tr w:rsidR="009C052E" w:rsidRPr="00FA5209">
        <w:tc>
          <w:tcPr>
            <w:tcW w:w="988" w:type="dxa"/>
            <w:tcBorders>
              <w:top w:val="single" w:sz="4" w:space="0" w:color="auto"/>
              <w:bottom w:val="single" w:sz="4" w:space="0" w:color="auto"/>
              <w:right w:val="single" w:sz="4" w:space="0" w:color="auto"/>
            </w:tcBorders>
            <w:shd w:val="clear" w:color="auto" w:fill="auto"/>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Fax</w:t>
            </w:r>
          </w:p>
        </w:tc>
        <w:tc>
          <w:tcPr>
            <w:tcW w:w="3543" w:type="dxa"/>
            <w:tcBorders>
              <w:top w:val="single" w:sz="4" w:space="0" w:color="auto"/>
              <w:left w:val="single" w:sz="4" w:space="0" w:color="auto"/>
              <w:bottom w:val="single" w:sz="4" w:space="0" w:color="auto"/>
              <w:right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rPr>
              <w:t>(021) 61902908</w:t>
            </w:r>
          </w:p>
        </w:tc>
        <w:tc>
          <w:tcPr>
            <w:tcW w:w="3765"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rPr>
              <w:t>(021) 61902908</w:t>
            </w:r>
          </w:p>
        </w:tc>
      </w:tr>
      <w:tr w:rsidR="009C052E" w:rsidRPr="00FA5209">
        <w:tc>
          <w:tcPr>
            <w:tcW w:w="988" w:type="dxa"/>
            <w:tcBorders>
              <w:top w:val="single" w:sz="4" w:space="0" w:color="auto"/>
              <w:bottom w:val="single" w:sz="4" w:space="0" w:color="auto"/>
              <w:right w:val="single" w:sz="4" w:space="0" w:color="auto"/>
            </w:tcBorders>
            <w:shd w:val="clear" w:color="auto" w:fill="auto"/>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E-mail</w:t>
            </w:r>
          </w:p>
        </w:tc>
        <w:tc>
          <w:tcPr>
            <w:tcW w:w="3543" w:type="dxa"/>
            <w:tcBorders>
              <w:top w:val="single" w:sz="4" w:space="0" w:color="auto"/>
              <w:left w:val="single" w:sz="4" w:space="0" w:color="auto"/>
              <w:bottom w:val="single" w:sz="4" w:space="0" w:color="auto"/>
              <w:right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IR@putailai.com</w:t>
            </w:r>
          </w:p>
        </w:tc>
        <w:tc>
          <w:tcPr>
            <w:tcW w:w="3765"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IR@putailai.com</w:t>
            </w:r>
          </w:p>
        </w:tc>
      </w:tr>
    </w:tbl>
    <w:p w:rsidR="009C052E" w:rsidRPr="00FA5209" w:rsidRDefault="009C052E">
      <w:pPr>
        <w:rPr>
          <w:lang w:val="en"/>
        </w:rPr>
      </w:pPr>
    </w:p>
    <w:p w:rsidR="009C052E" w:rsidRPr="00FA5209" w:rsidRDefault="00FF7444">
      <w:pPr>
        <w:keepNext/>
        <w:keepLines/>
        <w:numPr>
          <w:ilvl w:val="1"/>
          <w:numId w:val="1"/>
        </w:numPr>
        <w:spacing w:before="60" w:after="60"/>
        <w:ind w:left="498" w:hangingChars="236" w:hanging="498"/>
        <w:outlineLvl w:val="1"/>
        <w:rPr>
          <w:rFonts w:ascii="Times New Roman" w:eastAsia="宋体" w:hAnsi="Times New Roman" w:cs="Times New Roman"/>
          <w:b/>
          <w:bCs/>
          <w:szCs w:val="21"/>
          <w:lang w:val="en"/>
        </w:rPr>
      </w:pPr>
      <w:r w:rsidRPr="00FA5209">
        <w:rPr>
          <w:rFonts w:ascii="Times New Roman" w:eastAsia="宋体" w:hAnsi="Times New Roman" w:cs="Times New Roman"/>
          <w:b/>
          <w:bCs/>
          <w:szCs w:val="21"/>
          <w:lang w:val="en"/>
        </w:rPr>
        <w:t xml:space="preserve">Introduction </w:t>
      </w:r>
      <w:r w:rsidRPr="00FA5209">
        <w:rPr>
          <w:rFonts w:ascii="Times New Roman" w:eastAsia="宋体" w:hAnsi="Times New Roman" w:cs="Times New Roman" w:hint="eastAsia"/>
          <w:b/>
          <w:bCs/>
          <w:szCs w:val="21"/>
          <w:lang w:val="en"/>
        </w:rPr>
        <w:t>of</w:t>
      </w:r>
      <w:r w:rsidRPr="00FA5209">
        <w:rPr>
          <w:rFonts w:ascii="Times New Roman" w:eastAsia="宋体" w:hAnsi="Times New Roman" w:cs="Times New Roman"/>
          <w:b/>
          <w:bCs/>
          <w:szCs w:val="21"/>
          <w:lang w:val="en"/>
        </w:rPr>
        <w:t xml:space="preserve"> Main Business </w:t>
      </w:r>
    </w:p>
    <w:p w:rsidR="004970D5" w:rsidRDefault="00A72B9D" w:rsidP="00703F37">
      <w:pPr>
        <w:spacing w:line="276" w:lineRule="auto"/>
        <w:rPr>
          <w:rFonts w:ascii="Times New Roman" w:hAnsi="Times New Roman" w:cs="Times New Roman"/>
          <w:lang w:val="en"/>
        </w:rPr>
      </w:pPr>
      <w:r w:rsidRPr="00A72B9D">
        <w:rPr>
          <w:rFonts w:ascii="Times New Roman" w:hAnsi="Times New Roman" w:cs="Times New Roman"/>
          <w:lang w:val="en"/>
        </w:rPr>
        <w:t xml:space="preserve">As an integrated solution provider and platform-based enterprise specializing in key materials for new energy batteries, automated equipment, and related services, PTL's core business spans two major segments: new energy battery materials and supporting services. The material portfolio includes anode materials, coated separators, </w:t>
      </w:r>
      <w:proofErr w:type="spellStart"/>
      <w:r w:rsidRPr="00A72B9D">
        <w:rPr>
          <w:rFonts w:ascii="Times New Roman" w:hAnsi="Times New Roman" w:cs="Times New Roman"/>
          <w:lang w:val="en"/>
        </w:rPr>
        <w:t>polyvinylidene</w:t>
      </w:r>
      <w:proofErr w:type="spellEnd"/>
      <w:r w:rsidRPr="00A72B9D">
        <w:rPr>
          <w:rFonts w:ascii="Times New Roman" w:hAnsi="Times New Roman" w:cs="Times New Roman"/>
          <w:lang w:val="en"/>
        </w:rPr>
        <w:t xml:space="preserve"> fluoride (PVDF) and binders, </w:t>
      </w:r>
      <w:proofErr w:type="spellStart"/>
      <w:r w:rsidRPr="00A72B9D">
        <w:rPr>
          <w:rFonts w:ascii="Times New Roman" w:hAnsi="Times New Roman" w:cs="Times New Roman"/>
          <w:lang w:val="en"/>
        </w:rPr>
        <w:t>nano</w:t>
      </w:r>
      <w:proofErr w:type="spellEnd"/>
      <w:r w:rsidRPr="00A72B9D">
        <w:rPr>
          <w:rFonts w:ascii="Times New Roman" w:hAnsi="Times New Roman" w:cs="Times New Roman"/>
          <w:lang w:val="en"/>
        </w:rPr>
        <w:t xml:space="preserve">-alumina, </w:t>
      </w:r>
      <w:proofErr w:type="spellStart"/>
      <w:r w:rsidRPr="00A72B9D">
        <w:rPr>
          <w:rFonts w:ascii="Times New Roman" w:hAnsi="Times New Roman" w:cs="Times New Roman"/>
          <w:lang w:val="en"/>
        </w:rPr>
        <w:t>boehmite</w:t>
      </w:r>
      <w:proofErr w:type="spellEnd"/>
      <w:r w:rsidRPr="00A72B9D">
        <w:rPr>
          <w:rFonts w:ascii="Times New Roman" w:hAnsi="Times New Roman" w:cs="Times New Roman"/>
          <w:lang w:val="en"/>
        </w:rPr>
        <w:t>, aluminum-plastic composite films, and composite current collectors. On the service front, the company offers automated equipment and Coating as a Service (CAAS) tailored for the new energy battery industry.</w:t>
      </w:r>
    </w:p>
    <w:p w:rsidR="000B4D8A" w:rsidRPr="000B4D8A" w:rsidRDefault="00631883" w:rsidP="00703F37">
      <w:pPr>
        <w:spacing w:line="276" w:lineRule="auto"/>
        <w:rPr>
          <w:rFonts w:ascii="Times New Roman" w:hAnsi="Times New Roman" w:cs="Times New Roman"/>
          <w:lang w:val="en"/>
        </w:rPr>
      </w:pPr>
      <w:r w:rsidRPr="00631883">
        <w:rPr>
          <w:rFonts w:ascii="Times New Roman" w:hAnsi="Times New Roman" w:cs="Times New Roman"/>
          <w:lang w:val="en"/>
        </w:rPr>
        <w:t>Driven by power batteries and energy storage batteries, the global new energy battery market maintained a robust growth trajectory in the first half of 2025. Leveraging its R&amp;D and process innovation advantages, PTL actively addressed downstream customer demands with a differentiated portfolio of new products, solidifying its competitive position in the rapidly evolving industry</w:t>
      </w:r>
      <w:r w:rsidR="000B4D8A" w:rsidRPr="000B4D8A">
        <w:rPr>
          <w:rFonts w:ascii="Times New Roman" w:hAnsi="Times New Roman" w:cs="Times New Roman"/>
          <w:lang w:val="en"/>
        </w:rPr>
        <w:t>. During the reporting period:</w:t>
      </w:r>
      <w:bookmarkStart w:id="2" w:name="_GoBack"/>
      <w:bookmarkEnd w:id="2"/>
    </w:p>
    <w:p w:rsidR="000B4D8A" w:rsidRPr="000B4D8A" w:rsidRDefault="007C518D" w:rsidP="00703F37">
      <w:pPr>
        <w:spacing w:line="276" w:lineRule="auto"/>
        <w:rPr>
          <w:rFonts w:ascii="Times New Roman" w:hAnsi="Times New Roman" w:cs="Times New Roman"/>
          <w:lang w:val="en"/>
        </w:rPr>
      </w:pPr>
      <w:r>
        <w:rPr>
          <w:rFonts w:ascii="Times New Roman" w:hAnsi="Times New Roman" w:cs="Times New Roman"/>
          <w:lang w:val="en"/>
        </w:rPr>
        <w:t>O</w:t>
      </w:r>
      <w:r w:rsidRPr="007C518D">
        <w:rPr>
          <w:rFonts w:ascii="Times New Roman" w:hAnsi="Times New Roman" w:cs="Times New Roman"/>
          <w:lang w:val="en"/>
        </w:rPr>
        <w:t>verall</w:t>
      </w:r>
      <w:r w:rsidR="000B4D8A" w:rsidRPr="000B4D8A">
        <w:rPr>
          <w:rFonts w:ascii="Times New Roman" w:hAnsi="Times New Roman" w:cs="Times New Roman"/>
          <w:lang w:val="en"/>
        </w:rPr>
        <w:t xml:space="preserve">, </w:t>
      </w:r>
      <w:r>
        <w:rPr>
          <w:rFonts w:ascii="Times New Roman" w:hAnsi="Times New Roman" w:cs="Times New Roman"/>
          <w:lang w:val="en"/>
        </w:rPr>
        <w:t xml:space="preserve">the </w:t>
      </w:r>
      <w:r w:rsidR="000B4D8A" w:rsidRPr="000B4D8A">
        <w:rPr>
          <w:rFonts w:ascii="Times New Roman" w:hAnsi="Times New Roman" w:cs="Times New Roman"/>
          <w:lang w:val="en"/>
        </w:rPr>
        <w:t>orders</w:t>
      </w:r>
      <w:r w:rsidRPr="007C518D">
        <w:t xml:space="preserve"> </w:t>
      </w:r>
      <w:r>
        <w:rPr>
          <w:rFonts w:ascii="Times New Roman" w:hAnsi="Times New Roman" w:cs="Times New Roman"/>
        </w:rPr>
        <w:t>f</w:t>
      </w:r>
      <w:r w:rsidRPr="007C518D">
        <w:rPr>
          <w:rFonts w:ascii="Times New Roman" w:hAnsi="Times New Roman" w:cs="Times New Roman"/>
          <w:lang w:val="en"/>
        </w:rPr>
        <w:t>or the separator coating processing business</w:t>
      </w:r>
      <w:r w:rsidR="000B4D8A" w:rsidRPr="000B4D8A">
        <w:rPr>
          <w:rFonts w:ascii="Times New Roman" w:hAnsi="Times New Roman" w:cs="Times New Roman"/>
          <w:lang w:val="en"/>
        </w:rPr>
        <w:t xml:space="preserve"> were full. While closely matching the incremental demand from power battery customers, the company achieved significant breakthroughs in the energy storage field, with its market share continuously increasing and sales growth outpacing the industry average.</w:t>
      </w:r>
    </w:p>
    <w:p w:rsidR="000B4D8A" w:rsidRPr="000B4D8A" w:rsidRDefault="000B4D8A" w:rsidP="00703F37">
      <w:pPr>
        <w:spacing w:line="276" w:lineRule="auto"/>
        <w:rPr>
          <w:rFonts w:ascii="Times New Roman" w:hAnsi="Times New Roman" w:cs="Times New Roman"/>
          <w:lang w:val="en"/>
        </w:rPr>
      </w:pPr>
      <w:r w:rsidRPr="000B4D8A">
        <w:rPr>
          <w:rFonts w:ascii="Times New Roman" w:hAnsi="Times New Roman" w:cs="Times New Roman"/>
          <w:lang w:val="en"/>
        </w:rPr>
        <w:t>Breakthroughs in base film products and new ultra-fine alumina products provided strong support for the development of the company's coating processing business.</w:t>
      </w:r>
    </w:p>
    <w:p w:rsidR="000B4D8A" w:rsidRDefault="000B4D8A" w:rsidP="00703F37">
      <w:pPr>
        <w:spacing w:line="276" w:lineRule="auto"/>
        <w:rPr>
          <w:rFonts w:ascii="Times New Roman" w:hAnsi="Times New Roman" w:cs="Times New Roman"/>
          <w:lang w:val="en"/>
        </w:rPr>
      </w:pPr>
      <w:r w:rsidRPr="000B4D8A">
        <w:rPr>
          <w:rFonts w:ascii="Times New Roman" w:hAnsi="Times New Roman" w:cs="Times New Roman"/>
          <w:lang w:val="en"/>
        </w:rPr>
        <w:t xml:space="preserve">The PVDF business effectively seized market opportunities and secured incremental orders through </w:t>
      </w:r>
      <w:r>
        <w:rPr>
          <w:rFonts w:ascii="Times New Roman" w:hAnsi="Times New Roman" w:cs="Times New Roman"/>
          <w:lang w:val="en"/>
        </w:rPr>
        <w:t>stable product quality control.</w:t>
      </w:r>
    </w:p>
    <w:p w:rsidR="000B4D8A" w:rsidRPr="000B4D8A" w:rsidRDefault="000B4D8A" w:rsidP="00703F37">
      <w:pPr>
        <w:spacing w:line="276" w:lineRule="auto"/>
        <w:rPr>
          <w:rFonts w:ascii="Times New Roman" w:hAnsi="Times New Roman" w:cs="Times New Roman"/>
          <w:lang w:val="en"/>
        </w:rPr>
      </w:pPr>
      <w:r w:rsidRPr="000B4D8A">
        <w:rPr>
          <w:rFonts w:ascii="Times New Roman" w:hAnsi="Times New Roman" w:cs="Times New Roman"/>
          <w:lang w:val="en"/>
        </w:rPr>
        <w:t xml:space="preserve">In the </w:t>
      </w:r>
      <w:r w:rsidR="008A1DA2">
        <w:rPr>
          <w:rFonts w:ascii="Times New Roman" w:hAnsi="Times New Roman" w:cs="Times New Roman"/>
          <w:lang w:val="en"/>
        </w:rPr>
        <w:t>anode</w:t>
      </w:r>
      <w:r w:rsidRPr="000B4D8A">
        <w:rPr>
          <w:rFonts w:ascii="Times New Roman" w:hAnsi="Times New Roman" w:cs="Times New Roman"/>
          <w:lang w:val="en"/>
        </w:rPr>
        <w:t xml:space="preserve"> materials business:</w:t>
      </w:r>
      <w:r w:rsidR="0086581A">
        <w:rPr>
          <w:rFonts w:ascii="Times New Roman" w:hAnsi="Times New Roman" w:cs="Times New Roman"/>
          <w:lang w:val="en"/>
        </w:rPr>
        <w:t xml:space="preserve"> </w:t>
      </w:r>
      <w:r w:rsidR="0086581A">
        <w:rPr>
          <w:rFonts w:ascii="Times New Roman" w:hAnsi="Times New Roman" w:cs="Times New Roman" w:hint="eastAsia"/>
          <w:lang w:val="en"/>
        </w:rPr>
        <w:t>b</w:t>
      </w:r>
      <w:r w:rsidRPr="000B4D8A">
        <w:rPr>
          <w:rFonts w:ascii="Times New Roman" w:hAnsi="Times New Roman" w:cs="Times New Roman"/>
          <w:lang w:val="en"/>
        </w:rPr>
        <w:t xml:space="preserve">y optimizing product design, upgrading process technologies, and making major innovations in production and testing equipment, </w:t>
      </w:r>
      <w:r w:rsidR="0086581A">
        <w:rPr>
          <w:rFonts w:ascii="Times New Roman" w:hAnsi="Times New Roman" w:cs="Times New Roman"/>
          <w:lang w:val="en"/>
        </w:rPr>
        <w:t>PTL</w:t>
      </w:r>
      <w:r w:rsidRPr="000B4D8A">
        <w:rPr>
          <w:rFonts w:ascii="Times New Roman" w:hAnsi="Times New Roman" w:cs="Times New Roman"/>
          <w:lang w:val="en"/>
        </w:rPr>
        <w:t xml:space="preserve"> achieved cost reduction and </w:t>
      </w:r>
      <w:r w:rsidRPr="000B4D8A">
        <w:rPr>
          <w:rFonts w:ascii="Times New Roman" w:hAnsi="Times New Roman" w:cs="Times New Roman"/>
          <w:lang w:val="en"/>
        </w:rPr>
        <w:lastRenderedPageBreak/>
        <w:t>efficiency improvement, with its operating conditions gradually improving.</w:t>
      </w:r>
      <w:r w:rsidR="009B1597">
        <w:rPr>
          <w:rFonts w:ascii="Times New Roman" w:hAnsi="Times New Roman" w:cs="Times New Roman"/>
          <w:lang w:val="en"/>
        </w:rPr>
        <w:t xml:space="preserve"> </w:t>
      </w:r>
      <w:r w:rsidR="0086581A">
        <w:rPr>
          <w:rFonts w:ascii="Times New Roman" w:hAnsi="Times New Roman" w:cs="Times New Roman"/>
          <w:lang w:val="en"/>
        </w:rPr>
        <w:t>The company</w:t>
      </w:r>
      <w:r w:rsidRPr="000B4D8A">
        <w:rPr>
          <w:rFonts w:ascii="Times New Roman" w:hAnsi="Times New Roman" w:cs="Times New Roman"/>
          <w:lang w:val="en"/>
        </w:rPr>
        <w:t xml:space="preserve"> accelerated the development of new products, many of which had obvious leading advantages in performance, and the mass production introduction by downstream customers progressed in an orderly manner.</w:t>
      </w:r>
      <w:r w:rsidR="00260F21">
        <w:rPr>
          <w:rFonts w:ascii="Times New Roman" w:hAnsi="Times New Roman" w:cs="Times New Roman" w:hint="eastAsia"/>
          <w:lang w:val="en"/>
        </w:rPr>
        <w:t xml:space="preserve"> </w:t>
      </w:r>
      <w:r w:rsidRPr="000B4D8A">
        <w:rPr>
          <w:rFonts w:ascii="Times New Roman" w:hAnsi="Times New Roman" w:cs="Times New Roman"/>
          <w:lang w:val="en"/>
        </w:rPr>
        <w:t xml:space="preserve">The first-phase capacity of the Sichuan integrated </w:t>
      </w:r>
      <w:r w:rsidR="008A1DA2">
        <w:rPr>
          <w:rFonts w:ascii="Times New Roman" w:hAnsi="Times New Roman" w:cs="Times New Roman"/>
          <w:lang w:val="en"/>
        </w:rPr>
        <w:t>anode</w:t>
      </w:r>
      <w:r w:rsidRPr="000B4D8A">
        <w:rPr>
          <w:rFonts w:ascii="Times New Roman" w:hAnsi="Times New Roman" w:cs="Times New Roman"/>
          <w:lang w:val="en"/>
        </w:rPr>
        <w:t xml:space="preserve"> factory was gradually put into production, laying a solid foundation for improving costs and capturing customer markets.</w:t>
      </w:r>
    </w:p>
    <w:p w:rsidR="000B4D8A" w:rsidRPr="00FA5209" w:rsidRDefault="000B4D8A" w:rsidP="00703F37">
      <w:pPr>
        <w:spacing w:line="276" w:lineRule="auto"/>
        <w:rPr>
          <w:rFonts w:ascii="Times New Roman" w:hAnsi="Times New Roman" w:cs="Times New Roman"/>
          <w:lang w:val="en"/>
        </w:rPr>
      </w:pPr>
      <w:r w:rsidRPr="000B4D8A">
        <w:rPr>
          <w:rFonts w:ascii="Times New Roman" w:hAnsi="Times New Roman" w:cs="Times New Roman"/>
          <w:lang w:val="en"/>
        </w:rPr>
        <w:t>In the automated equipment business: Leading battery customers actively expanded p</w:t>
      </w:r>
      <w:r w:rsidR="00260F21">
        <w:rPr>
          <w:rFonts w:ascii="Times New Roman" w:hAnsi="Times New Roman" w:cs="Times New Roman"/>
          <w:lang w:val="en"/>
        </w:rPr>
        <w:t>roduction to meet market demand and</w:t>
      </w:r>
      <w:r w:rsidRPr="000B4D8A">
        <w:rPr>
          <w:rFonts w:ascii="Times New Roman" w:hAnsi="Times New Roman" w:cs="Times New Roman"/>
          <w:lang w:val="en"/>
        </w:rPr>
        <w:t xml:space="preserve"> the company saw a significant rebound in the amount of newly received orders in the first half of the year</w:t>
      </w:r>
      <w:r w:rsidR="00260F21">
        <w:rPr>
          <w:rFonts w:ascii="Times New Roman" w:hAnsi="Times New Roman" w:cs="Times New Roman"/>
          <w:lang w:val="en"/>
        </w:rPr>
        <w:t xml:space="preserve"> relying on the</w:t>
      </w:r>
      <w:r w:rsidR="00260F21" w:rsidRPr="00260F21">
        <w:rPr>
          <w:rFonts w:ascii="Times New Roman" w:hAnsi="Times New Roman" w:cs="Times New Roman"/>
          <w:lang w:val="en"/>
        </w:rPr>
        <w:t xml:space="preserve"> leading technical capabilities and market position</w:t>
      </w:r>
      <w:r w:rsidRPr="000B4D8A">
        <w:rPr>
          <w:rFonts w:ascii="Times New Roman" w:hAnsi="Times New Roman" w:cs="Times New Roman"/>
          <w:lang w:val="en"/>
        </w:rPr>
        <w:t>, and its market share of mid-to-late-stage equipment (such as liquid injection machines, lamination machines, formation machines, and wrapping machines) continued to increase.</w:t>
      </w:r>
    </w:p>
    <w:p w:rsidR="009C052E" w:rsidRPr="00FA5209" w:rsidRDefault="00FF7444">
      <w:pPr>
        <w:keepNext/>
        <w:keepLines/>
        <w:numPr>
          <w:ilvl w:val="1"/>
          <w:numId w:val="1"/>
        </w:numPr>
        <w:spacing w:before="60" w:after="60"/>
        <w:ind w:left="498" w:hangingChars="236" w:hanging="498"/>
        <w:outlineLvl w:val="1"/>
        <w:rPr>
          <w:rFonts w:ascii="Times New Roman" w:eastAsia="宋体" w:hAnsi="Times New Roman" w:cs="Times New Roman"/>
          <w:b/>
          <w:bCs/>
          <w:szCs w:val="21"/>
          <w:lang w:val="en"/>
        </w:rPr>
      </w:pPr>
      <w:bookmarkStart w:id="3" w:name="_Toc342056397"/>
      <w:bookmarkStart w:id="4" w:name="_Toc342565889"/>
      <w:r w:rsidRPr="00FA5209">
        <w:rPr>
          <w:rFonts w:ascii="Times New Roman" w:eastAsia="宋体" w:hAnsi="Times New Roman" w:cs="Times New Roman"/>
          <w:b/>
          <w:bCs/>
          <w:szCs w:val="21"/>
          <w:lang w:val="en"/>
        </w:rPr>
        <w:t>Key Accounting Data and Financial Indicators in the past</w:t>
      </w:r>
      <w:bookmarkEnd w:id="3"/>
      <w:bookmarkEnd w:id="4"/>
    </w:p>
    <w:p w:rsidR="009C052E" w:rsidRPr="00FA5209" w:rsidRDefault="00FF7444">
      <w:pPr>
        <w:keepNext/>
        <w:keepLines/>
        <w:numPr>
          <w:ilvl w:val="1"/>
          <w:numId w:val="2"/>
        </w:numPr>
        <w:spacing w:before="60" w:after="60"/>
        <w:outlineLvl w:val="2"/>
        <w:rPr>
          <w:rFonts w:ascii="Times New Roman" w:eastAsia="宋体" w:hAnsi="Times New Roman" w:cs="Times New Roman"/>
          <w:b/>
          <w:bCs/>
          <w:kern w:val="0"/>
          <w:szCs w:val="32"/>
          <w:lang w:val="en"/>
        </w:rPr>
      </w:pPr>
      <w:r w:rsidRPr="00FA5209">
        <w:rPr>
          <w:rFonts w:ascii="Times New Roman" w:eastAsia="宋体" w:hAnsi="Times New Roman" w:cs="Times New Roman"/>
          <w:b/>
          <w:bCs/>
          <w:kern w:val="0"/>
          <w:szCs w:val="32"/>
          <w:lang w:val="en"/>
        </w:rPr>
        <w:t>Key accounting data</w:t>
      </w:r>
    </w:p>
    <w:p w:rsidR="009C052E" w:rsidRPr="00FA5209" w:rsidRDefault="00FF7444">
      <w:pPr>
        <w:jc w:val="right"/>
        <w:rPr>
          <w:rFonts w:ascii="Times New Roman" w:hAnsi="Times New Roman" w:cs="Times New Roman"/>
          <w:szCs w:val="21"/>
          <w:lang w:val="en"/>
        </w:rPr>
      </w:pPr>
      <w:r w:rsidRPr="00FA5209">
        <w:rPr>
          <w:rFonts w:ascii="Times New Roman" w:hAnsi="Times New Roman" w:cs="Times New Roman"/>
          <w:szCs w:val="21"/>
          <w:lang w:val="en"/>
        </w:rPr>
        <w:t>Unit: CNY</w:t>
      </w:r>
    </w:p>
    <w:tbl>
      <w:tblPr>
        <w:tblStyle w:val="1"/>
        <w:tblW w:w="8440" w:type="dxa"/>
        <w:tblLayout w:type="fixed"/>
        <w:tblLook w:val="0000" w:firstRow="0" w:lastRow="0" w:firstColumn="0" w:lastColumn="0" w:noHBand="0" w:noVBand="0"/>
      </w:tblPr>
      <w:tblGrid>
        <w:gridCol w:w="2690"/>
        <w:gridCol w:w="2125"/>
        <w:gridCol w:w="2125"/>
        <w:gridCol w:w="1500"/>
      </w:tblGrid>
      <w:tr w:rsidR="00D75774" w:rsidRPr="00FA5209" w:rsidTr="003A4871">
        <w:trPr>
          <w:trHeight w:val="588"/>
        </w:trPr>
        <w:tc>
          <w:tcPr>
            <w:tcW w:w="2690" w:type="dxa"/>
            <w:vAlign w:val="center"/>
          </w:tcPr>
          <w:p w:rsidR="00D75774" w:rsidRPr="00302519" w:rsidRDefault="003A4871" w:rsidP="003A4871">
            <w:pPr>
              <w:kinsoku w:val="0"/>
              <w:overflowPunct w:val="0"/>
              <w:autoSpaceDE w:val="0"/>
              <w:autoSpaceDN w:val="0"/>
              <w:adjustRightInd w:val="0"/>
              <w:snapToGrid w:val="0"/>
              <w:jc w:val="center"/>
              <w:rPr>
                <w:b/>
                <w:szCs w:val="21"/>
              </w:rPr>
            </w:pPr>
            <w:r w:rsidRPr="00302519">
              <w:rPr>
                <w:b/>
                <w:szCs w:val="21"/>
              </w:rPr>
              <w:t>Item</w:t>
            </w:r>
          </w:p>
        </w:tc>
        <w:tc>
          <w:tcPr>
            <w:tcW w:w="2125" w:type="dxa"/>
            <w:vAlign w:val="center"/>
          </w:tcPr>
          <w:p w:rsidR="00D75774" w:rsidRPr="00302519" w:rsidRDefault="00D75774">
            <w:pPr>
              <w:kinsoku w:val="0"/>
              <w:overflowPunct w:val="0"/>
              <w:autoSpaceDE w:val="0"/>
              <w:autoSpaceDN w:val="0"/>
              <w:adjustRightInd w:val="0"/>
              <w:snapToGrid w:val="0"/>
              <w:jc w:val="center"/>
              <w:rPr>
                <w:b/>
                <w:szCs w:val="21"/>
              </w:rPr>
            </w:pPr>
            <w:r w:rsidRPr="00302519">
              <w:rPr>
                <w:b/>
                <w:szCs w:val="21"/>
              </w:rPr>
              <w:t>H1 2025</w:t>
            </w:r>
          </w:p>
        </w:tc>
        <w:tc>
          <w:tcPr>
            <w:tcW w:w="2125" w:type="dxa"/>
            <w:vAlign w:val="center"/>
          </w:tcPr>
          <w:p w:rsidR="00D75774" w:rsidRPr="00302519" w:rsidRDefault="00D75774">
            <w:pPr>
              <w:kinsoku w:val="0"/>
              <w:overflowPunct w:val="0"/>
              <w:autoSpaceDE w:val="0"/>
              <w:autoSpaceDN w:val="0"/>
              <w:adjustRightInd w:val="0"/>
              <w:snapToGrid w:val="0"/>
              <w:jc w:val="center"/>
              <w:rPr>
                <w:b/>
                <w:szCs w:val="21"/>
              </w:rPr>
            </w:pPr>
            <w:r w:rsidRPr="00302519">
              <w:rPr>
                <w:b/>
                <w:szCs w:val="21"/>
              </w:rPr>
              <w:t>H1 2024</w:t>
            </w:r>
          </w:p>
        </w:tc>
        <w:tc>
          <w:tcPr>
            <w:tcW w:w="1500" w:type="dxa"/>
            <w:vAlign w:val="center"/>
          </w:tcPr>
          <w:p w:rsidR="00D75774" w:rsidRPr="00302519" w:rsidRDefault="003A4871">
            <w:pPr>
              <w:kinsoku w:val="0"/>
              <w:overflowPunct w:val="0"/>
              <w:autoSpaceDE w:val="0"/>
              <w:autoSpaceDN w:val="0"/>
              <w:adjustRightInd w:val="0"/>
              <w:snapToGrid w:val="0"/>
              <w:jc w:val="center"/>
              <w:rPr>
                <w:b/>
                <w:szCs w:val="21"/>
              </w:rPr>
            </w:pPr>
            <w:r w:rsidRPr="00302519">
              <w:rPr>
                <w:b/>
                <w:szCs w:val="21"/>
              </w:rPr>
              <w:t>Change</w:t>
            </w:r>
            <w:r w:rsidR="00D75774" w:rsidRPr="00302519">
              <w:rPr>
                <w:b/>
                <w:szCs w:val="21"/>
              </w:rPr>
              <w:t>(%)</w:t>
            </w:r>
          </w:p>
        </w:tc>
      </w:tr>
      <w:tr w:rsidR="003A4871" w:rsidRPr="00FA5209" w:rsidTr="003A4871">
        <w:trPr>
          <w:trHeight w:val="281"/>
        </w:trPr>
        <w:tc>
          <w:tcPr>
            <w:tcW w:w="2690" w:type="dxa"/>
            <w:vAlign w:val="center"/>
          </w:tcPr>
          <w:p w:rsidR="003A4871" w:rsidRPr="00FA5209" w:rsidRDefault="003A4871" w:rsidP="003A4871">
            <w:pPr>
              <w:kinsoku w:val="0"/>
              <w:overflowPunct w:val="0"/>
              <w:autoSpaceDE w:val="0"/>
              <w:autoSpaceDN w:val="0"/>
              <w:adjustRightInd w:val="0"/>
              <w:snapToGrid w:val="0"/>
              <w:rPr>
                <w:szCs w:val="21"/>
              </w:rPr>
            </w:pPr>
            <w:r w:rsidRPr="00FA5209">
              <w:rPr>
                <w:szCs w:val="21"/>
              </w:rPr>
              <w:t>Operati</w:t>
            </w:r>
            <w:r w:rsidRPr="00FA5209">
              <w:rPr>
                <w:rFonts w:hint="eastAsia"/>
                <w:szCs w:val="21"/>
              </w:rPr>
              <w:t>on</w:t>
            </w:r>
            <w:r w:rsidRPr="00FA5209">
              <w:rPr>
                <w:szCs w:val="21"/>
              </w:rPr>
              <w:t xml:space="preserve"> revenue</w:t>
            </w:r>
          </w:p>
        </w:tc>
        <w:tc>
          <w:tcPr>
            <w:tcW w:w="2125" w:type="dxa"/>
            <w:vAlign w:val="center"/>
          </w:tcPr>
          <w:p w:rsidR="003A4871" w:rsidRPr="001310ED" w:rsidRDefault="003A4871" w:rsidP="003A4871">
            <w:pPr>
              <w:kinsoku w:val="0"/>
              <w:overflowPunct w:val="0"/>
              <w:autoSpaceDE w:val="0"/>
              <w:autoSpaceDN w:val="0"/>
              <w:adjustRightInd w:val="0"/>
              <w:snapToGrid w:val="0"/>
              <w:jc w:val="right"/>
              <w:rPr>
                <w:rFonts w:ascii="宋体" w:hAnsi="宋体"/>
              </w:rPr>
            </w:pPr>
            <w:bookmarkStart w:id="5" w:name="OLE_LINK24"/>
            <w:bookmarkStart w:id="6" w:name="OLE_LINK25"/>
            <w:r w:rsidRPr="001310ED">
              <w:rPr>
                <w:rFonts w:ascii="宋体" w:hAnsi="宋体" w:hint="eastAsia"/>
                <w:color w:val="000000"/>
              </w:rPr>
              <w:t>7,087,860,729.92</w:t>
            </w:r>
            <w:bookmarkEnd w:id="5"/>
            <w:bookmarkEnd w:id="6"/>
          </w:p>
        </w:tc>
        <w:tc>
          <w:tcPr>
            <w:tcW w:w="2125" w:type="dxa"/>
            <w:vAlign w:val="center"/>
          </w:tcPr>
          <w:p w:rsidR="003A4871" w:rsidRPr="001310ED" w:rsidRDefault="003A4871" w:rsidP="003A4871">
            <w:pPr>
              <w:kinsoku w:val="0"/>
              <w:overflowPunct w:val="0"/>
              <w:autoSpaceDE w:val="0"/>
              <w:autoSpaceDN w:val="0"/>
              <w:adjustRightInd w:val="0"/>
              <w:snapToGrid w:val="0"/>
              <w:jc w:val="right"/>
              <w:rPr>
                <w:rFonts w:ascii="宋体" w:hAnsi="宋体"/>
                <w:bCs/>
              </w:rPr>
            </w:pPr>
            <w:r w:rsidRPr="001310ED">
              <w:rPr>
                <w:rFonts w:ascii="宋体" w:hAnsi="宋体" w:hint="eastAsia"/>
                <w:color w:val="000000"/>
              </w:rPr>
              <w:t>6,331,503,447.13</w:t>
            </w:r>
          </w:p>
        </w:tc>
        <w:tc>
          <w:tcPr>
            <w:tcW w:w="1500" w:type="dxa"/>
            <w:vAlign w:val="center"/>
          </w:tcPr>
          <w:p w:rsidR="003A4871" w:rsidRPr="001310ED" w:rsidRDefault="003A4871" w:rsidP="003A4871">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11.95</w:t>
            </w:r>
          </w:p>
        </w:tc>
      </w:tr>
      <w:tr w:rsidR="003A4871" w:rsidRPr="00FA5209" w:rsidTr="003A4871">
        <w:trPr>
          <w:trHeight w:val="281"/>
        </w:trPr>
        <w:tc>
          <w:tcPr>
            <w:tcW w:w="2690" w:type="dxa"/>
            <w:vAlign w:val="center"/>
          </w:tcPr>
          <w:p w:rsidR="003A4871" w:rsidRPr="00FA5209" w:rsidRDefault="003A4871" w:rsidP="003A4871">
            <w:pPr>
              <w:kinsoku w:val="0"/>
              <w:overflowPunct w:val="0"/>
              <w:autoSpaceDE w:val="0"/>
              <w:autoSpaceDN w:val="0"/>
              <w:adjustRightInd w:val="0"/>
              <w:snapToGrid w:val="0"/>
              <w:rPr>
                <w:szCs w:val="21"/>
              </w:rPr>
            </w:pPr>
            <w:r w:rsidRPr="003A4871">
              <w:rPr>
                <w:szCs w:val="21"/>
              </w:rPr>
              <w:t>Total profit</w:t>
            </w:r>
          </w:p>
        </w:tc>
        <w:tc>
          <w:tcPr>
            <w:tcW w:w="2125" w:type="dxa"/>
            <w:vAlign w:val="center"/>
          </w:tcPr>
          <w:p w:rsidR="003A4871" w:rsidRPr="001310ED" w:rsidRDefault="003A4871" w:rsidP="003A4871">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1,307,328,545.13</w:t>
            </w:r>
          </w:p>
        </w:tc>
        <w:tc>
          <w:tcPr>
            <w:tcW w:w="2125" w:type="dxa"/>
            <w:vAlign w:val="center"/>
          </w:tcPr>
          <w:p w:rsidR="003A4871" w:rsidRPr="001310ED" w:rsidRDefault="003A4871" w:rsidP="003A4871">
            <w:pPr>
              <w:kinsoku w:val="0"/>
              <w:overflowPunct w:val="0"/>
              <w:autoSpaceDE w:val="0"/>
              <w:autoSpaceDN w:val="0"/>
              <w:adjustRightInd w:val="0"/>
              <w:snapToGrid w:val="0"/>
              <w:jc w:val="right"/>
              <w:rPr>
                <w:rFonts w:ascii="宋体" w:hAnsi="宋体"/>
                <w:bCs/>
              </w:rPr>
            </w:pPr>
            <w:r w:rsidRPr="001310ED">
              <w:rPr>
                <w:rFonts w:ascii="宋体" w:hAnsi="宋体" w:hint="eastAsia"/>
                <w:color w:val="000000"/>
              </w:rPr>
              <w:t>1,054,060,431.57</w:t>
            </w:r>
          </w:p>
        </w:tc>
        <w:tc>
          <w:tcPr>
            <w:tcW w:w="1500" w:type="dxa"/>
            <w:vAlign w:val="center"/>
          </w:tcPr>
          <w:p w:rsidR="003A4871" w:rsidRPr="001310ED" w:rsidRDefault="003A4871" w:rsidP="003A4871">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24.03</w:t>
            </w:r>
          </w:p>
        </w:tc>
      </w:tr>
      <w:tr w:rsidR="003A4871" w:rsidRPr="00FA5209" w:rsidTr="003A4871">
        <w:trPr>
          <w:trHeight w:val="281"/>
        </w:trPr>
        <w:tc>
          <w:tcPr>
            <w:tcW w:w="2690" w:type="dxa"/>
            <w:vAlign w:val="center"/>
          </w:tcPr>
          <w:p w:rsidR="003A4871" w:rsidRPr="00FA5209" w:rsidRDefault="003A4871" w:rsidP="003A4871">
            <w:pPr>
              <w:kinsoku w:val="0"/>
              <w:wordWrap w:val="0"/>
              <w:overflowPunct w:val="0"/>
              <w:autoSpaceDE w:val="0"/>
              <w:autoSpaceDN w:val="0"/>
              <w:adjustRightInd w:val="0"/>
              <w:snapToGrid w:val="0"/>
              <w:rPr>
                <w:szCs w:val="21"/>
              </w:rPr>
            </w:pPr>
            <w:r w:rsidRPr="00FA5209">
              <w:rPr>
                <w:szCs w:val="21"/>
              </w:rPr>
              <w:t>Net profits attributable to shareholders of the listed company</w:t>
            </w:r>
          </w:p>
        </w:tc>
        <w:tc>
          <w:tcPr>
            <w:tcW w:w="2125" w:type="dxa"/>
            <w:vAlign w:val="center"/>
          </w:tcPr>
          <w:p w:rsidR="003A4871" w:rsidRPr="001310ED" w:rsidRDefault="003A4871" w:rsidP="003A4871">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1,055,331,469.87</w:t>
            </w:r>
          </w:p>
        </w:tc>
        <w:tc>
          <w:tcPr>
            <w:tcW w:w="2125" w:type="dxa"/>
            <w:vAlign w:val="center"/>
          </w:tcPr>
          <w:p w:rsidR="003A4871" w:rsidRPr="001310ED" w:rsidRDefault="003A4871" w:rsidP="003A4871">
            <w:pPr>
              <w:kinsoku w:val="0"/>
              <w:overflowPunct w:val="0"/>
              <w:autoSpaceDE w:val="0"/>
              <w:autoSpaceDN w:val="0"/>
              <w:adjustRightInd w:val="0"/>
              <w:snapToGrid w:val="0"/>
              <w:jc w:val="right"/>
              <w:rPr>
                <w:rFonts w:ascii="宋体" w:hAnsi="宋体"/>
                <w:bCs/>
              </w:rPr>
            </w:pPr>
            <w:r w:rsidRPr="001310ED">
              <w:rPr>
                <w:rFonts w:ascii="宋体" w:hAnsi="宋体" w:hint="eastAsia"/>
                <w:color w:val="000000"/>
              </w:rPr>
              <w:t>857,818,309.78</w:t>
            </w:r>
          </w:p>
        </w:tc>
        <w:tc>
          <w:tcPr>
            <w:tcW w:w="1500" w:type="dxa"/>
            <w:vAlign w:val="center"/>
          </w:tcPr>
          <w:p w:rsidR="003A4871" w:rsidRPr="001310ED" w:rsidRDefault="003A4871" w:rsidP="003A4871">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23.03</w:t>
            </w:r>
          </w:p>
        </w:tc>
      </w:tr>
      <w:tr w:rsidR="003A4871" w:rsidRPr="00FA5209" w:rsidTr="003A4871">
        <w:trPr>
          <w:trHeight w:val="281"/>
        </w:trPr>
        <w:tc>
          <w:tcPr>
            <w:tcW w:w="2690" w:type="dxa"/>
            <w:vAlign w:val="center"/>
          </w:tcPr>
          <w:p w:rsidR="003A4871" w:rsidRPr="00FA5209" w:rsidRDefault="003A4871" w:rsidP="003A4871">
            <w:pPr>
              <w:kinsoku w:val="0"/>
              <w:wordWrap w:val="0"/>
              <w:overflowPunct w:val="0"/>
              <w:autoSpaceDE w:val="0"/>
              <w:autoSpaceDN w:val="0"/>
              <w:adjustRightInd w:val="0"/>
              <w:snapToGrid w:val="0"/>
              <w:rPr>
                <w:szCs w:val="21"/>
              </w:rPr>
            </w:pPr>
            <w:r w:rsidRPr="00FA5209">
              <w:rPr>
                <w:szCs w:val="21"/>
              </w:rPr>
              <w:t xml:space="preserve">Net profits attributable to shareholders of </w:t>
            </w:r>
            <w:r w:rsidRPr="00FA5209">
              <w:rPr>
                <w:rFonts w:hint="eastAsia"/>
                <w:szCs w:val="21"/>
              </w:rPr>
              <w:t>t</w:t>
            </w:r>
            <w:r w:rsidRPr="00FA5209">
              <w:rPr>
                <w:szCs w:val="21"/>
              </w:rPr>
              <w:t>he listed company after deduction of non-recurring gains and losses</w:t>
            </w:r>
          </w:p>
        </w:tc>
        <w:tc>
          <w:tcPr>
            <w:tcW w:w="2125" w:type="dxa"/>
            <w:vAlign w:val="center"/>
          </w:tcPr>
          <w:p w:rsidR="003A4871" w:rsidRPr="001310ED" w:rsidRDefault="003A4871" w:rsidP="003A4871">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992,110,848.63</w:t>
            </w:r>
          </w:p>
        </w:tc>
        <w:tc>
          <w:tcPr>
            <w:tcW w:w="2125" w:type="dxa"/>
            <w:vAlign w:val="center"/>
          </w:tcPr>
          <w:p w:rsidR="003A4871" w:rsidRPr="001310ED" w:rsidRDefault="003A4871" w:rsidP="003A4871">
            <w:pPr>
              <w:kinsoku w:val="0"/>
              <w:overflowPunct w:val="0"/>
              <w:autoSpaceDE w:val="0"/>
              <w:autoSpaceDN w:val="0"/>
              <w:adjustRightInd w:val="0"/>
              <w:snapToGrid w:val="0"/>
              <w:jc w:val="right"/>
              <w:rPr>
                <w:rFonts w:ascii="宋体" w:hAnsi="宋体"/>
                <w:bCs/>
              </w:rPr>
            </w:pPr>
            <w:r w:rsidRPr="001310ED">
              <w:rPr>
                <w:rFonts w:ascii="宋体" w:hAnsi="宋体" w:hint="eastAsia"/>
                <w:color w:val="000000"/>
              </w:rPr>
              <w:t>768,067,187.61</w:t>
            </w:r>
          </w:p>
        </w:tc>
        <w:tc>
          <w:tcPr>
            <w:tcW w:w="1500" w:type="dxa"/>
            <w:vAlign w:val="center"/>
          </w:tcPr>
          <w:p w:rsidR="003A4871" w:rsidRPr="001310ED" w:rsidRDefault="003A4871" w:rsidP="003A4871">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29.17</w:t>
            </w:r>
          </w:p>
        </w:tc>
      </w:tr>
      <w:tr w:rsidR="003A4871" w:rsidRPr="00FA5209" w:rsidTr="003A4871">
        <w:trPr>
          <w:trHeight w:val="281"/>
        </w:trPr>
        <w:tc>
          <w:tcPr>
            <w:tcW w:w="2690" w:type="dxa"/>
            <w:vAlign w:val="center"/>
          </w:tcPr>
          <w:p w:rsidR="003A4871" w:rsidRPr="00FA5209" w:rsidRDefault="003A4871" w:rsidP="003A4871">
            <w:pPr>
              <w:kinsoku w:val="0"/>
              <w:overflowPunct w:val="0"/>
              <w:autoSpaceDE w:val="0"/>
              <w:autoSpaceDN w:val="0"/>
              <w:adjustRightInd w:val="0"/>
              <w:snapToGrid w:val="0"/>
              <w:rPr>
                <w:szCs w:val="21"/>
              </w:rPr>
            </w:pPr>
            <w:r w:rsidRPr="00FA5209">
              <w:rPr>
                <w:szCs w:val="21"/>
              </w:rPr>
              <w:t>Net cash flow from operating activities</w:t>
            </w:r>
          </w:p>
        </w:tc>
        <w:tc>
          <w:tcPr>
            <w:tcW w:w="2125" w:type="dxa"/>
            <w:vAlign w:val="center"/>
          </w:tcPr>
          <w:p w:rsidR="003A4871" w:rsidRPr="001310ED" w:rsidRDefault="003A4871" w:rsidP="003A4871">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1,223,116,085.18</w:t>
            </w:r>
          </w:p>
        </w:tc>
        <w:tc>
          <w:tcPr>
            <w:tcW w:w="2125" w:type="dxa"/>
            <w:vAlign w:val="center"/>
          </w:tcPr>
          <w:p w:rsidR="003A4871" w:rsidRPr="001310ED" w:rsidRDefault="003A4871" w:rsidP="003A4871">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-360,684,896.96</w:t>
            </w:r>
          </w:p>
        </w:tc>
        <w:tc>
          <w:tcPr>
            <w:tcW w:w="1500" w:type="dxa"/>
            <w:vAlign w:val="center"/>
          </w:tcPr>
          <w:p w:rsidR="003A4871" w:rsidRPr="001310ED" w:rsidRDefault="003A4871" w:rsidP="003A4871">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439.11</w:t>
            </w:r>
          </w:p>
        </w:tc>
      </w:tr>
      <w:tr w:rsidR="00D75774" w:rsidRPr="00FA5209" w:rsidTr="003A4871">
        <w:trPr>
          <w:trHeight w:val="525"/>
        </w:trPr>
        <w:tc>
          <w:tcPr>
            <w:tcW w:w="2690" w:type="dxa"/>
            <w:vAlign w:val="center"/>
          </w:tcPr>
          <w:p w:rsidR="00D75774" w:rsidRPr="00302519" w:rsidRDefault="003A4871" w:rsidP="003A4871">
            <w:pPr>
              <w:kinsoku w:val="0"/>
              <w:overflowPunct w:val="0"/>
              <w:autoSpaceDE w:val="0"/>
              <w:autoSpaceDN w:val="0"/>
              <w:adjustRightInd w:val="0"/>
              <w:snapToGrid w:val="0"/>
              <w:jc w:val="center"/>
              <w:rPr>
                <w:b/>
                <w:szCs w:val="21"/>
              </w:rPr>
            </w:pPr>
            <w:r w:rsidRPr="00302519">
              <w:rPr>
                <w:b/>
                <w:szCs w:val="21"/>
              </w:rPr>
              <w:t>Item</w:t>
            </w:r>
          </w:p>
        </w:tc>
        <w:tc>
          <w:tcPr>
            <w:tcW w:w="2125" w:type="dxa"/>
            <w:vAlign w:val="center"/>
          </w:tcPr>
          <w:p w:rsidR="00D75774" w:rsidRPr="00302519" w:rsidRDefault="003A4871">
            <w:pPr>
              <w:kinsoku w:val="0"/>
              <w:overflowPunct w:val="0"/>
              <w:autoSpaceDE w:val="0"/>
              <w:autoSpaceDN w:val="0"/>
              <w:adjustRightInd w:val="0"/>
              <w:snapToGrid w:val="0"/>
              <w:jc w:val="center"/>
              <w:rPr>
                <w:b/>
                <w:szCs w:val="21"/>
              </w:rPr>
            </w:pPr>
            <w:r w:rsidRPr="00302519">
              <w:rPr>
                <w:rFonts w:hint="eastAsia"/>
                <w:b/>
                <w:szCs w:val="21"/>
              </w:rPr>
              <w:t>3</w:t>
            </w:r>
            <w:r w:rsidRPr="00302519">
              <w:rPr>
                <w:b/>
                <w:szCs w:val="21"/>
              </w:rPr>
              <w:t>0 June 2025</w:t>
            </w:r>
          </w:p>
        </w:tc>
        <w:tc>
          <w:tcPr>
            <w:tcW w:w="2125" w:type="dxa"/>
            <w:vAlign w:val="center"/>
          </w:tcPr>
          <w:p w:rsidR="00D75774" w:rsidRPr="00302519" w:rsidRDefault="003A4871">
            <w:pPr>
              <w:kinsoku w:val="0"/>
              <w:overflowPunct w:val="0"/>
              <w:autoSpaceDE w:val="0"/>
              <w:autoSpaceDN w:val="0"/>
              <w:adjustRightInd w:val="0"/>
              <w:snapToGrid w:val="0"/>
              <w:jc w:val="center"/>
              <w:rPr>
                <w:b/>
                <w:szCs w:val="21"/>
              </w:rPr>
            </w:pPr>
            <w:r w:rsidRPr="00302519">
              <w:rPr>
                <w:b/>
                <w:szCs w:val="21"/>
              </w:rPr>
              <w:t>31 Dec</w:t>
            </w:r>
            <w:r w:rsidR="00D75774" w:rsidRPr="00302519">
              <w:rPr>
                <w:b/>
                <w:szCs w:val="21"/>
              </w:rPr>
              <w:t xml:space="preserve"> 2024</w:t>
            </w:r>
          </w:p>
        </w:tc>
        <w:tc>
          <w:tcPr>
            <w:tcW w:w="1500" w:type="dxa"/>
            <w:vAlign w:val="center"/>
          </w:tcPr>
          <w:p w:rsidR="00D75774" w:rsidRPr="00302519" w:rsidRDefault="003A4871">
            <w:pPr>
              <w:kinsoku w:val="0"/>
              <w:overflowPunct w:val="0"/>
              <w:autoSpaceDE w:val="0"/>
              <w:autoSpaceDN w:val="0"/>
              <w:adjustRightInd w:val="0"/>
              <w:snapToGrid w:val="0"/>
              <w:jc w:val="center"/>
              <w:rPr>
                <w:b/>
                <w:szCs w:val="21"/>
              </w:rPr>
            </w:pPr>
            <w:r w:rsidRPr="00302519">
              <w:rPr>
                <w:b/>
                <w:szCs w:val="21"/>
              </w:rPr>
              <w:t>Change</w:t>
            </w:r>
            <w:r w:rsidR="00D75774" w:rsidRPr="00302519">
              <w:rPr>
                <w:b/>
                <w:szCs w:val="21"/>
              </w:rPr>
              <w:t>(%)</w:t>
            </w:r>
          </w:p>
        </w:tc>
      </w:tr>
      <w:tr w:rsidR="003A4871" w:rsidRPr="00FA5209" w:rsidTr="003A4871">
        <w:trPr>
          <w:trHeight w:val="281"/>
        </w:trPr>
        <w:tc>
          <w:tcPr>
            <w:tcW w:w="2690" w:type="dxa"/>
            <w:vAlign w:val="center"/>
          </w:tcPr>
          <w:p w:rsidR="003A4871" w:rsidRPr="00FA5209" w:rsidRDefault="003A4871" w:rsidP="003A4871">
            <w:pPr>
              <w:kinsoku w:val="0"/>
              <w:wordWrap w:val="0"/>
              <w:overflowPunct w:val="0"/>
              <w:autoSpaceDE w:val="0"/>
              <w:autoSpaceDN w:val="0"/>
              <w:adjustRightInd w:val="0"/>
              <w:snapToGrid w:val="0"/>
              <w:rPr>
                <w:szCs w:val="21"/>
              </w:rPr>
            </w:pPr>
            <w:r w:rsidRPr="00FA5209">
              <w:rPr>
                <w:szCs w:val="21"/>
              </w:rPr>
              <w:t>Net assets attributable to shareholders of  the listed company</w:t>
            </w:r>
          </w:p>
        </w:tc>
        <w:tc>
          <w:tcPr>
            <w:tcW w:w="2125" w:type="dxa"/>
            <w:vAlign w:val="center"/>
          </w:tcPr>
          <w:p w:rsidR="003A4871" w:rsidRPr="001310ED" w:rsidRDefault="003A4871" w:rsidP="003A4871">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19,091,627,461.43</w:t>
            </w:r>
          </w:p>
        </w:tc>
        <w:tc>
          <w:tcPr>
            <w:tcW w:w="2125" w:type="dxa"/>
            <w:vAlign w:val="center"/>
          </w:tcPr>
          <w:p w:rsidR="003A4871" w:rsidRPr="001310ED" w:rsidRDefault="003A4871" w:rsidP="003A4871">
            <w:pPr>
              <w:kinsoku w:val="0"/>
              <w:overflowPunct w:val="0"/>
              <w:autoSpaceDE w:val="0"/>
              <w:autoSpaceDN w:val="0"/>
              <w:adjustRightInd w:val="0"/>
              <w:snapToGrid w:val="0"/>
              <w:jc w:val="right"/>
              <w:rPr>
                <w:rFonts w:ascii="宋体" w:hAnsi="宋体"/>
                <w:bCs/>
              </w:rPr>
            </w:pPr>
            <w:r w:rsidRPr="001310ED">
              <w:rPr>
                <w:rFonts w:ascii="宋体" w:hAnsi="宋体" w:hint="eastAsia"/>
                <w:color w:val="000000"/>
              </w:rPr>
              <w:t>18,387,096,048.41</w:t>
            </w:r>
          </w:p>
        </w:tc>
        <w:tc>
          <w:tcPr>
            <w:tcW w:w="1500" w:type="dxa"/>
            <w:vAlign w:val="center"/>
          </w:tcPr>
          <w:p w:rsidR="003A4871" w:rsidRPr="001310ED" w:rsidRDefault="003A4871" w:rsidP="003A4871">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3.83</w:t>
            </w:r>
          </w:p>
        </w:tc>
      </w:tr>
      <w:tr w:rsidR="003A4871" w:rsidRPr="00FA5209" w:rsidTr="003A4871">
        <w:trPr>
          <w:trHeight w:val="281"/>
        </w:trPr>
        <w:tc>
          <w:tcPr>
            <w:tcW w:w="2690" w:type="dxa"/>
            <w:vAlign w:val="center"/>
          </w:tcPr>
          <w:p w:rsidR="003A4871" w:rsidRPr="00FA5209" w:rsidRDefault="003A4871" w:rsidP="003A4871">
            <w:pPr>
              <w:kinsoku w:val="0"/>
              <w:overflowPunct w:val="0"/>
              <w:autoSpaceDE w:val="0"/>
              <w:autoSpaceDN w:val="0"/>
              <w:adjustRightInd w:val="0"/>
              <w:snapToGrid w:val="0"/>
              <w:rPr>
                <w:szCs w:val="21"/>
              </w:rPr>
            </w:pPr>
            <w:r w:rsidRPr="00FA5209">
              <w:rPr>
                <w:szCs w:val="21"/>
              </w:rPr>
              <w:t>Total assets</w:t>
            </w:r>
          </w:p>
        </w:tc>
        <w:tc>
          <w:tcPr>
            <w:tcW w:w="2125" w:type="dxa"/>
            <w:vAlign w:val="center"/>
          </w:tcPr>
          <w:p w:rsidR="003A4871" w:rsidRPr="001310ED" w:rsidRDefault="003A4871" w:rsidP="003A4871">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44,425,215,865.38</w:t>
            </w:r>
          </w:p>
        </w:tc>
        <w:tc>
          <w:tcPr>
            <w:tcW w:w="2125" w:type="dxa"/>
            <w:vAlign w:val="center"/>
          </w:tcPr>
          <w:p w:rsidR="003A4871" w:rsidRPr="001310ED" w:rsidRDefault="003A4871" w:rsidP="003A4871">
            <w:pPr>
              <w:kinsoku w:val="0"/>
              <w:overflowPunct w:val="0"/>
              <w:autoSpaceDE w:val="0"/>
              <w:autoSpaceDN w:val="0"/>
              <w:adjustRightInd w:val="0"/>
              <w:snapToGrid w:val="0"/>
              <w:jc w:val="right"/>
              <w:rPr>
                <w:rFonts w:ascii="宋体" w:hAnsi="宋体"/>
                <w:bCs/>
              </w:rPr>
            </w:pPr>
            <w:r w:rsidRPr="001310ED">
              <w:rPr>
                <w:rFonts w:ascii="宋体" w:hAnsi="宋体" w:hint="eastAsia"/>
                <w:color w:val="000000"/>
              </w:rPr>
              <w:t>42,103,555,050.29</w:t>
            </w:r>
          </w:p>
        </w:tc>
        <w:tc>
          <w:tcPr>
            <w:tcW w:w="1500" w:type="dxa"/>
            <w:vAlign w:val="center"/>
          </w:tcPr>
          <w:p w:rsidR="003A4871" w:rsidRPr="001310ED" w:rsidRDefault="003A4871" w:rsidP="003A4871">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5.51</w:t>
            </w:r>
          </w:p>
        </w:tc>
      </w:tr>
    </w:tbl>
    <w:p w:rsidR="009C052E" w:rsidRPr="00FA5209" w:rsidRDefault="009C052E">
      <w:pPr>
        <w:rPr>
          <w:rFonts w:ascii="Times New Roman" w:hAnsi="Times New Roman" w:cs="Times New Roman"/>
          <w:lang w:val="en"/>
        </w:rPr>
      </w:pPr>
    </w:p>
    <w:p w:rsidR="009C052E" w:rsidRPr="00FA5209" w:rsidRDefault="00FF7444">
      <w:pPr>
        <w:keepNext/>
        <w:keepLines/>
        <w:numPr>
          <w:ilvl w:val="1"/>
          <w:numId w:val="2"/>
        </w:numPr>
        <w:spacing w:before="60" w:after="60"/>
        <w:outlineLvl w:val="2"/>
        <w:rPr>
          <w:rFonts w:ascii="Times New Roman" w:eastAsia="宋体" w:hAnsi="Times New Roman" w:cs="Times New Roman"/>
          <w:b/>
          <w:bCs/>
          <w:kern w:val="0"/>
          <w:szCs w:val="21"/>
          <w:lang w:val="en"/>
        </w:rPr>
      </w:pPr>
      <w:r w:rsidRPr="00FA5209">
        <w:rPr>
          <w:rFonts w:ascii="Times New Roman" w:eastAsia="宋体" w:hAnsi="Times New Roman" w:cs="Times New Roman"/>
          <w:b/>
          <w:bCs/>
          <w:kern w:val="0"/>
          <w:szCs w:val="32"/>
          <w:lang w:val="en"/>
        </w:rPr>
        <w:t>Key Financial Indicators</w:t>
      </w:r>
    </w:p>
    <w:p w:rsidR="009C052E" w:rsidRPr="00FA5209" w:rsidRDefault="00FF7444">
      <w:pPr>
        <w:jc w:val="right"/>
        <w:rPr>
          <w:rFonts w:ascii="Times New Roman" w:eastAsia="宋体" w:hAnsi="Times New Roman" w:cs="Times New Roman"/>
          <w:bCs/>
          <w:kern w:val="0"/>
          <w:sz w:val="20"/>
          <w:szCs w:val="21"/>
          <w:lang w:val="en"/>
        </w:rPr>
      </w:pPr>
      <w:r w:rsidRPr="00FA5209">
        <w:rPr>
          <w:rFonts w:ascii="Times New Roman" w:eastAsia="宋体" w:hAnsi="Times New Roman" w:cs="Times New Roman"/>
          <w:bCs/>
          <w:kern w:val="0"/>
          <w:sz w:val="20"/>
          <w:szCs w:val="21"/>
          <w:lang w:val="en"/>
        </w:rPr>
        <w:t>Unit: CNY</w:t>
      </w:r>
    </w:p>
    <w:tbl>
      <w:tblPr>
        <w:tblStyle w:val="1"/>
        <w:tblW w:w="0" w:type="auto"/>
        <w:tblLayout w:type="fixed"/>
        <w:tblLook w:val="04A0" w:firstRow="1" w:lastRow="0" w:firstColumn="1" w:lastColumn="0" w:noHBand="0" w:noVBand="1"/>
      </w:tblPr>
      <w:tblGrid>
        <w:gridCol w:w="3255"/>
        <w:gridCol w:w="1185"/>
        <w:gridCol w:w="1185"/>
        <w:gridCol w:w="2664"/>
      </w:tblGrid>
      <w:tr w:rsidR="009C052E" w:rsidRPr="00FA5209">
        <w:trPr>
          <w:trHeight w:val="232"/>
        </w:trPr>
        <w:tc>
          <w:tcPr>
            <w:tcW w:w="3255" w:type="dxa"/>
            <w:vAlign w:val="center"/>
          </w:tcPr>
          <w:p w:rsidR="009C052E" w:rsidRPr="00302519" w:rsidRDefault="00FF7444">
            <w:pPr>
              <w:kinsoku w:val="0"/>
              <w:overflowPunct w:val="0"/>
              <w:autoSpaceDE w:val="0"/>
              <w:autoSpaceDN w:val="0"/>
              <w:adjustRightInd w:val="0"/>
              <w:snapToGrid w:val="0"/>
              <w:jc w:val="center"/>
              <w:rPr>
                <w:b/>
                <w:szCs w:val="21"/>
              </w:rPr>
            </w:pPr>
            <w:r w:rsidRPr="00302519">
              <w:rPr>
                <w:b/>
                <w:szCs w:val="21"/>
              </w:rPr>
              <w:t>Key Financial Indicators</w:t>
            </w:r>
          </w:p>
        </w:tc>
        <w:tc>
          <w:tcPr>
            <w:tcW w:w="1185" w:type="dxa"/>
            <w:vAlign w:val="center"/>
          </w:tcPr>
          <w:p w:rsidR="009C052E" w:rsidRPr="00302519" w:rsidRDefault="00B84914">
            <w:pPr>
              <w:kinsoku w:val="0"/>
              <w:overflowPunct w:val="0"/>
              <w:autoSpaceDE w:val="0"/>
              <w:autoSpaceDN w:val="0"/>
              <w:adjustRightInd w:val="0"/>
              <w:snapToGrid w:val="0"/>
              <w:jc w:val="center"/>
              <w:rPr>
                <w:b/>
                <w:szCs w:val="21"/>
              </w:rPr>
            </w:pPr>
            <w:r w:rsidRPr="00302519">
              <w:rPr>
                <w:b/>
                <w:szCs w:val="21"/>
              </w:rPr>
              <w:t>H1 2025</w:t>
            </w:r>
          </w:p>
        </w:tc>
        <w:tc>
          <w:tcPr>
            <w:tcW w:w="1185" w:type="dxa"/>
            <w:vAlign w:val="center"/>
          </w:tcPr>
          <w:p w:rsidR="009C052E" w:rsidRPr="00302519" w:rsidRDefault="00B84914">
            <w:pPr>
              <w:kinsoku w:val="0"/>
              <w:overflowPunct w:val="0"/>
              <w:autoSpaceDE w:val="0"/>
              <w:autoSpaceDN w:val="0"/>
              <w:adjustRightInd w:val="0"/>
              <w:snapToGrid w:val="0"/>
              <w:jc w:val="center"/>
              <w:rPr>
                <w:b/>
              </w:rPr>
            </w:pPr>
            <w:r w:rsidRPr="00302519">
              <w:rPr>
                <w:b/>
              </w:rPr>
              <w:t>H1 2024</w:t>
            </w:r>
          </w:p>
        </w:tc>
        <w:tc>
          <w:tcPr>
            <w:tcW w:w="2664" w:type="dxa"/>
            <w:vAlign w:val="center"/>
          </w:tcPr>
          <w:p w:rsidR="009C052E" w:rsidRPr="00302519" w:rsidRDefault="00B84914">
            <w:pPr>
              <w:kinsoku w:val="0"/>
              <w:overflowPunct w:val="0"/>
              <w:autoSpaceDE w:val="0"/>
              <w:autoSpaceDN w:val="0"/>
              <w:adjustRightInd w:val="0"/>
              <w:snapToGrid w:val="0"/>
              <w:jc w:val="center"/>
              <w:rPr>
                <w:b/>
                <w:szCs w:val="21"/>
              </w:rPr>
            </w:pPr>
            <w:r w:rsidRPr="00302519">
              <w:rPr>
                <w:b/>
                <w:szCs w:val="21"/>
              </w:rPr>
              <w:t>Change(%)</w:t>
            </w:r>
          </w:p>
        </w:tc>
      </w:tr>
      <w:tr w:rsidR="00B84914" w:rsidRPr="00FA5209">
        <w:trPr>
          <w:trHeight w:val="451"/>
        </w:trPr>
        <w:tc>
          <w:tcPr>
            <w:tcW w:w="3255" w:type="dxa"/>
            <w:vAlign w:val="center"/>
          </w:tcPr>
          <w:p w:rsidR="00B84914" w:rsidRPr="00FA5209" w:rsidRDefault="00B84914" w:rsidP="00B84914">
            <w:pPr>
              <w:kinsoku w:val="0"/>
              <w:wordWrap w:val="0"/>
              <w:overflowPunct w:val="0"/>
              <w:autoSpaceDE w:val="0"/>
              <w:autoSpaceDN w:val="0"/>
              <w:adjustRightInd w:val="0"/>
              <w:snapToGrid w:val="0"/>
              <w:rPr>
                <w:szCs w:val="21"/>
              </w:rPr>
            </w:pPr>
            <w:r w:rsidRPr="00FA5209">
              <w:rPr>
                <w:szCs w:val="21"/>
              </w:rPr>
              <w:t>Basic earnings per share (CNY/share)</w:t>
            </w:r>
          </w:p>
        </w:tc>
        <w:tc>
          <w:tcPr>
            <w:tcW w:w="1185" w:type="dxa"/>
            <w:vAlign w:val="center"/>
          </w:tcPr>
          <w:p w:rsidR="00B84914" w:rsidRPr="001310ED" w:rsidRDefault="00B84914" w:rsidP="00B84914">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0.49</w:t>
            </w:r>
          </w:p>
        </w:tc>
        <w:tc>
          <w:tcPr>
            <w:tcW w:w="1185" w:type="dxa"/>
            <w:vAlign w:val="center"/>
          </w:tcPr>
          <w:p w:rsidR="00B84914" w:rsidRPr="001310ED" w:rsidRDefault="00B84914" w:rsidP="00B84914">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0.40</w:t>
            </w:r>
          </w:p>
        </w:tc>
        <w:tc>
          <w:tcPr>
            <w:tcW w:w="2664" w:type="dxa"/>
            <w:vAlign w:val="center"/>
          </w:tcPr>
          <w:p w:rsidR="00B84914" w:rsidRPr="001310ED" w:rsidRDefault="00B84914" w:rsidP="00B84914">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2</w:t>
            </w:r>
            <w:r w:rsidRPr="001310ED">
              <w:rPr>
                <w:rFonts w:ascii="宋体" w:hAnsi="宋体"/>
                <w:color w:val="000000"/>
              </w:rPr>
              <w:t>2</w:t>
            </w:r>
            <w:r w:rsidRPr="001310ED">
              <w:rPr>
                <w:rFonts w:ascii="宋体" w:hAnsi="宋体" w:hint="eastAsia"/>
                <w:color w:val="000000"/>
              </w:rPr>
              <w:t>.</w:t>
            </w:r>
            <w:r w:rsidRPr="001310ED">
              <w:rPr>
                <w:rFonts w:ascii="宋体" w:hAnsi="宋体"/>
                <w:color w:val="000000"/>
              </w:rPr>
              <w:t>50</w:t>
            </w:r>
          </w:p>
        </w:tc>
      </w:tr>
      <w:tr w:rsidR="00B84914" w:rsidRPr="00FA5209" w:rsidTr="000C30CF">
        <w:trPr>
          <w:trHeight w:val="465"/>
        </w:trPr>
        <w:tc>
          <w:tcPr>
            <w:tcW w:w="3255" w:type="dxa"/>
            <w:vAlign w:val="center"/>
          </w:tcPr>
          <w:p w:rsidR="00B84914" w:rsidRPr="00FA5209" w:rsidRDefault="00B84914" w:rsidP="00B84914">
            <w:pPr>
              <w:kinsoku w:val="0"/>
              <w:wordWrap w:val="0"/>
              <w:overflowPunct w:val="0"/>
              <w:autoSpaceDE w:val="0"/>
              <w:autoSpaceDN w:val="0"/>
              <w:adjustRightInd w:val="0"/>
              <w:snapToGrid w:val="0"/>
              <w:rPr>
                <w:szCs w:val="21"/>
              </w:rPr>
            </w:pPr>
            <w:r w:rsidRPr="00FA5209">
              <w:rPr>
                <w:szCs w:val="21"/>
              </w:rPr>
              <w:t>Diluted earnings per share (CNY/share)</w:t>
            </w:r>
          </w:p>
        </w:tc>
        <w:tc>
          <w:tcPr>
            <w:tcW w:w="1185" w:type="dxa"/>
            <w:vAlign w:val="center"/>
          </w:tcPr>
          <w:p w:rsidR="00B84914" w:rsidRPr="001310ED" w:rsidRDefault="00B84914" w:rsidP="00B84914">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0.49</w:t>
            </w:r>
          </w:p>
        </w:tc>
        <w:tc>
          <w:tcPr>
            <w:tcW w:w="1185" w:type="dxa"/>
            <w:vAlign w:val="center"/>
          </w:tcPr>
          <w:p w:rsidR="00B84914" w:rsidRPr="001310ED" w:rsidRDefault="00B84914" w:rsidP="00B84914">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0.40</w:t>
            </w:r>
          </w:p>
        </w:tc>
        <w:tc>
          <w:tcPr>
            <w:tcW w:w="2664" w:type="dxa"/>
            <w:vAlign w:val="center"/>
          </w:tcPr>
          <w:p w:rsidR="00B84914" w:rsidRPr="001310ED" w:rsidRDefault="00B84914" w:rsidP="00B84914">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2</w:t>
            </w:r>
            <w:r w:rsidRPr="001310ED">
              <w:rPr>
                <w:rFonts w:ascii="宋体" w:hAnsi="宋体"/>
                <w:color w:val="000000"/>
              </w:rPr>
              <w:t>2</w:t>
            </w:r>
            <w:r w:rsidRPr="001310ED">
              <w:rPr>
                <w:rFonts w:ascii="宋体" w:hAnsi="宋体" w:hint="eastAsia"/>
                <w:color w:val="000000"/>
              </w:rPr>
              <w:t>.</w:t>
            </w:r>
            <w:r w:rsidRPr="001310ED">
              <w:rPr>
                <w:rFonts w:ascii="宋体" w:hAnsi="宋体"/>
                <w:color w:val="000000"/>
              </w:rPr>
              <w:t>50</w:t>
            </w:r>
          </w:p>
        </w:tc>
      </w:tr>
      <w:tr w:rsidR="00B84914" w:rsidRPr="00FA5209">
        <w:trPr>
          <w:trHeight w:val="684"/>
        </w:trPr>
        <w:tc>
          <w:tcPr>
            <w:tcW w:w="3255" w:type="dxa"/>
            <w:vAlign w:val="center"/>
          </w:tcPr>
          <w:p w:rsidR="00B84914" w:rsidRPr="00FA5209" w:rsidRDefault="00B84914" w:rsidP="00B84914">
            <w:pPr>
              <w:kinsoku w:val="0"/>
              <w:wordWrap w:val="0"/>
              <w:overflowPunct w:val="0"/>
              <w:autoSpaceDE w:val="0"/>
              <w:autoSpaceDN w:val="0"/>
              <w:adjustRightInd w:val="0"/>
              <w:snapToGrid w:val="0"/>
              <w:rPr>
                <w:szCs w:val="21"/>
              </w:rPr>
            </w:pPr>
            <w:r w:rsidRPr="00FA5209">
              <w:rPr>
                <w:szCs w:val="21"/>
              </w:rPr>
              <w:t>Basic earnings per share after deducting non-recurring gains and losses (CNY/share)</w:t>
            </w:r>
          </w:p>
        </w:tc>
        <w:tc>
          <w:tcPr>
            <w:tcW w:w="1185" w:type="dxa"/>
            <w:vAlign w:val="center"/>
          </w:tcPr>
          <w:p w:rsidR="00B84914" w:rsidRPr="001310ED" w:rsidRDefault="00B84914" w:rsidP="00B84914">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0.46</w:t>
            </w:r>
          </w:p>
        </w:tc>
        <w:tc>
          <w:tcPr>
            <w:tcW w:w="1185" w:type="dxa"/>
            <w:vAlign w:val="center"/>
          </w:tcPr>
          <w:p w:rsidR="00B84914" w:rsidRPr="001310ED" w:rsidRDefault="00B84914" w:rsidP="00B84914">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0.36</w:t>
            </w:r>
          </w:p>
        </w:tc>
        <w:tc>
          <w:tcPr>
            <w:tcW w:w="2664" w:type="dxa"/>
            <w:vAlign w:val="center"/>
          </w:tcPr>
          <w:p w:rsidR="00B84914" w:rsidRPr="001310ED" w:rsidRDefault="00B84914" w:rsidP="00B84914">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27.78</w:t>
            </w:r>
          </w:p>
        </w:tc>
      </w:tr>
      <w:tr w:rsidR="00B84914" w:rsidRPr="00FA5209">
        <w:trPr>
          <w:trHeight w:val="630"/>
        </w:trPr>
        <w:tc>
          <w:tcPr>
            <w:tcW w:w="3255" w:type="dxa"/>
            <w:vAlign w:val="center"/>
          </w:tcPr>
          <w:p w:rsidR="00B84914" w:rsidRPr="00FA5209" w:rsidRDefault="00B84914" w:rsidP="00B84914">
            <w:pPr>
              <w:kinsoku w:val="0"/>
              <w:overflowPunct w:val="0"/>
              <w:autoSpaceDE w:val="0"/>
              <w:autoSpaceDN w:val="0"/>
              <w:adjustRightInd w:val="0"/>
              <w:snapToGrid w:val="0"/>
              <w:rPr>
                <w:szCs w:val="21"/>
              </w:rPr>
            </w:pPr>
            <w:r w:rsidRPr="00FA5209">
              <w:rPr>
                <w:szCs w:val="21"/>
              </w:rPr>
              <w:t>Weighted average ROE (%)</w:t>
            </w:r>
          </w:p>
        </w:tc>
        <w:tc>
          <w:tcPr>
            <w:tcW w:w="1185" w:type="dxa"/>
            <w:vAlign w:val="center"/>
          </w:tcPr>
          <w:p w:rsidR="00B84914" w:rsidRPr="001310ED" w:rsidRDefault="00B84914" w:rsidP="00B84914">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5.58</w:t>
            </w:r>
          </w:p>
        </w:tc>
        <w:tc>
          <w:tcPr>
            <w:tcW w:w="1185" w:type="dxa"/>
            <w:vAlign w:val="center"/>
          </w:tcPr>
          <w:p w:rsidR="00B84914" w:rsidRPr="001310ED" w:rsidRDefault="00B84914" w:rsidP="00B84914">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4.71</w:t>
            </w:r>
          </w:p>
        </w:tc>
        <w:tc>
          <w:tcPr>
            <w:tcW w:w="2664" w:type="dxa"/>
            <w:vAlign w:val="center"/>
          </w:tcPr>
          <w:p w:rsidR="00B84914" w:rsidRPr="00FA5209" w:rsidRDefault="00D1230F" w:rsidP="00B84914">
            <w:pPr>
              <w:jc w:val="right"/>
            </w:pPr>
            <w:r>
              <w:rPr>
                <w:rFonts w:hint="eastAsia"/>
              </w:rPr>
              <w:t>0</w:t>
            </w:r>
            <w:r>
              <w:t>.87</w:t>
            </w:r>
          </w:p>
        </w:tc>
      </w:tr>
      <w:tr w:rsidR="00B84914" w:rsidRPr="00FA5209">
        <w:trPr>
          <w:trHeight w:val="684"/>
        </w:trPr>
        <w:tc>
          <w:tcPr>
            <w:tcW w:w="3255" w:type="dxa"/>
            <w:vAlign w:val="center"/>
          </w:tcPr>
          <w:p w:rsidR="00B84914" w:rsidRPr="00FA5209" w:rsidRDefault="00B84914" w:rsidP="00B84914">
            <w:pPr>
              <w:kinsoku w:val="0"/>
              <w:wordWrap w:val="0"/>
              <w:overflowPunct w:val="0"/>
              <w:autoSpaceDE w:val="0"/>
              <w:autoSpaceDN w:val="0"/>
              <w:adjustRightInd w:val="0"/>
              <w:snapToGrid w:val="0"/>
              <w:rPr>
                <w:szCs w:val="21"/>
              </w:rPr>
            </w:pPr>
            <w:r w:rsidRPr="00FA5209">
              <w:rPr>
                <w:szCs w:val="21"/>
              </w:rPr>
              <w:t>Weighted average ROE after deducting non-recurring gains and losses (%)</w:t>
            </w:r>
          </w:p>
        </w:tc>
        <w:tc>
          <w:tcPr>
            <w:tcW w:w="1185" w:type="dxa"/>
            <w:vAlign w:val="center"/>
          </w:tcPr>
          <w:p w:rsidR="00B84914" w:rsidRPr="001310ED" w:rsidRDefault="00B84914" w:rsidP="00B84914">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5.25</w:t>
            </w:r>
          </w:p>
        </w:tc>
        <w:tc>
          <w:tcPr>
            <w:tcW w:w="1185" w:type="dxa"/>
            <w:vAlign w:val="center"/>
          </w:tcPr>
          <w:p w:rsidR="00B84914" w:rsidRPr="001310ED" w:rsidRDefault="00B84914" w:rsidP="00B84914">
            <w:pPr>
              <w:kinsoku w:val="0"/>
              <w:overflowPunct w:val="0"/>
              <w:autoSpaceDE w:val="0"/>
              <w:autoSpaceDN w:val="0"/>
              <w:adjustRightInd w:val="0"/>
              <w:snapToGrid w:val="0"/>
              <w:jc w:val="right"/>
              <w:rPr>
                <w:rFonts w:ascii="宋体" w:hAnsi="宋体"/>
              </w:rPr>
            </w:pPr>
            <w:r w:rsidRPr="001310ED">
              <w:rPr>
                <w:rFonts w:ascii="宋体" w:hAnsi="宋体" w:hint="eastAsia"/>
                <w:color w:val="000000"/>
              </w:rPr>
              <w:t>4.23</w:t>
            </w:r>
          </w:p>
        </w:tc>
        <w:tc>
          <w:tcPr>
            <w:tcW w:w="2664" w:type="dxa"/>
            <w:vAlign w:val="center"/>
          </w:tcPr>
          <w:p w:rsidR="00B84914" w:rsidRPr="00FA5209" w:rsidRDefault="00D1230F" w:rsidP="00B84914">
            <w:pPr>
              <w:jc w:val="right"/>
            </w:pPr>
            <w:r>
              <w:rPr>
                <w:rFonts w:hint="eastAsia"/>
              </w:rPr>
              <w:t>1</w:t>
            </w:r>
            <w:r>
              <w:t>.02</w:t>
            </w:r>
          </w:p>
        </w:tc>
      </w:tr>
    </w:tbl>
    <w:p w:rsidR="009C052E" w:rsidRPr="00FA5209" w:rsidRDefault="009C052E">
      <w:pPr>
        <w:rPr>
          <w:rFonts w:ascii="Times New Roman" w:hAnsi="Times New Roman" w:cs="Times New Roman"/>
          <w:lang w:val="en"/>
        </w:rPr>
      </w:pPr>
    </w:p>
    <w:p w:rsidR="00D1230F" w:rsidRPr="00D1230F" w:rsidRDefault="00D1230F" w:rsidP="00D1230F">
      <w:pPr>
        <w:keepNext/>
        <w:keepLines/>
        <w:numPr>
          <w:ilvl w:val="1"/>
          <w:numId w:val="1"/>
        </w:numPr>
        <w:spacing w:before="60" w:after="60"/>
        <w:outlineLvl w:val="1"/>
        <w:rPr>
          <w:rFonts w:ascii="Times New Roman" w:eastAsia="宋体" w:hAnsi="Times New Roman" w:cs="Times New Roman"/>
          <w:b/>
          <w:bCs/>
          <w:szCs w:val="21"/>
          <w:lang w:val="en"/>
        </w:rPr>
      </w:pPr>
      <w:r w:rsidRPr="00D1230F">
        <w:rPr>
          <w:rFonts w:ascii="Times New Roman" w:hAnsi="Times New Roman" w:cs="Times New Roman"/>
          <w:b/>
          <w:lang w:val="en"/>
        </w:rPr>
        <w:t>Discussion and analysis of business situation</w:t>
      </w:r>
    </w:p>
    <w:p w:rsidR="00D1230F" w:rsidRPr="00D1230F" w:rsidRDefault="00D1230F" w:rsidP="00D1230F">
      <w:pPr>
        <w:spacing w:line="276" w:lineRule="auto"/>
        <w:rPr>
          <w:rFonts w:ascii="Times New Roman" w:hAnsi="Times New Roman" w:cs="Times New Roman"/>
          <w:lang w:val="en"/>
        </w:rPr>
      </w:pPr>
      <w:r w:rsidRPr="00D1230F">
        <w:rPr>
          <w:rFonts w:ascii="Times New Roman" w:hAnsi="Times New Roman" w:cs="Times New Roman"/>
          <w:lang w:val="en"/>
        </w:rPr>
        <w:t xml:space="preserve">During the reporting period, the company achieved an operating revenue of </w:t>
      </w:r>
      <w:r>
        <w:rPr>
          <w:rFonts w:ascii="Times New Roman" w:hAnsi="Times New Roman" w:cs="Times New Roman"/>
          <w:lang w:val="en"/>
        </w:rPr>
        <w:t xml:space="preserve">CNY </w:t>
      </w:r>
      <w:r w:rsidR="00993895">
        <w:rPr>
          <w:rFonts w:ascii="Times New Roman" w:hAnsi="Times New Roman" w:cs="Times New Roman"/>
          <w:lang w:val="en"/>
        </w:rPr>
        <w:t>7.09</w:t>
      </w:r>
      <w:r w:rsidRPr="00D1230F">
        <w:rPr>
          <w:rFonts w:ascii="Times New Roman" w:hAnsi="Times New Roman" w:cs="Times New Roman"/>
          <w:lang w:val="en"/>
        </w:rPr>
        <w:t xml:space="preserve"> billion, representing a </w:t>
      </w:r>
      <w:proofErr w:type="spellStart"/>
      <w:r w:rsidRPr="00D1230F">
        <w:rPr>
          <w:rFonts w:ascii="Times New Roman" w:hAnsi="Times New Roman" w:cs="Times New Roman"/>
          <w:lang w:val="en"/>
        </w:rPr>
        <w:t>y</w:t>
      </w:r>
      <w:r>
        <w:rPr>
          <w:rFonts w:ascii="Times New Roman" w:hAnsi="Times New Roman" w:cs="Times New Roman"/>
          <w:lang w:val="en"/>
        </w:rPr>
        <w:t>oy</w:t>
      </w:r>
      <w:proofErr w:type="spellEnd"/>
      <w:r w:rsidRPr="00D1230F">
        <w:rPr>
          <w:rFonts w:ascii="Times New Roman" w:hAnsi="Times New Roman" w:cs="Times New Roman"/>
          <w:lang w:val="en"/>
        </w:rPr>
        <w:t xml:space="preserve"> increase of 11.95%; the net profit attributable to shareholders of the listed company reached</w:t>
      </w:r>
      <w:r>
        <w:rPr>
          <w:rFonts w:ascii="Times New Roman" w:hAnsi="Times New Roman" w:cs="Times New Roman"/>
          <w:lang w:val="en"/>
        </w:rPr>
        <w:t xml:space="preserve"> CNY</w:t>
      </w:r>
      <w:r w:rsidR="00993895">
        <w:rPr>
          <w:rFonts w:ascii="Times New Roman" w:hAnsi="Times New Roman" w:cs="Times New Roman"/>
          <w:lang w:val="en"/>
        </w:rPr>
        <w:t xml:space="preserve"> 1.06</w:t>
      </w:r>
      <w:r w:rsidRPr="00D1230F">
        <w:rPr>
          <w:rFonts w:ascii="Times New Roman" w:hAnsi="Times New Roman" w:cs="Times New Roman"/>
          <w:lang w:val="en"/>
        </w:rPr>
        <w:t xml:space="preserve"> billion, with a </w:t>
      </w:r>
      <w:proofErr w:type="spellStart"/>
      <w:r w:rsidR="004970D5">
        <w:rPr>
          <w:rFonts w:ascii="Times New Roman" w:hAnsi="Times New Roman" w:cs="Times New Roman"/>
          <w:lang w:val="en"/>
        </w:rPr>
        <w:t>yoy</w:t>
      </w:r>
      <w:proofErr w:type="spellEnd"/>
      <w:r w:rsidRPr="00D1230F">
        <w:rPr>
          <w:rFonts w:ascii="Times New Roman" w:hAnsi="Times New Roman" w:cs="Times New Roman"/>
          <w:lang w:val="en"/>
        </w:rPr>
        <w:t xml:space="preserve"> growth of 23.03%; and the net profit attributable to shareholders of the listed company excluding non-recurring gains and losses st</w:t>
      </w:r>
      <w:r w:rsidR="000D3E2F">
        <w:rPr>
          <w:rFonts w:ascii="Times New Roman" w:hAnsi="Times New Roman" w:cs="Times New Roman"/>
          <w:lang w:val="en"/>
        </w:rPr>
        <w:t>ood at CNY 992 million</w:t>
      </w:r>
      <w:r w:rsidRPr="00D1230F">
        <w:rPr>
          <w:rFonts w:ascii="Times New Roman" w:hAnsi="Times New Roman" w:cs="Times New Roman"/>
          <w:lang w:val="en"/>
        </w:rPr>
        <w:t xml:space="preserve">, posting a </w:t>
      </w:r>
      <w:proofErr w:type="spellStart"/>
      <w:r w:rsidR="004970D5">
        <w:rPr>
          <w:rFonts w:ascii="Times New Roman" w:hAnsi="Times New Roman" w:cs="Times New Roman"/>
          <w:lang w:val="en"/>
        </w:rPr>
        <w:t>yoy</w:t>
      </w:r>
      <w:proofErr w:type="spellEnd"/>
      <w:r w:rsidRPr="00D1230F">
        <w:rPr>
          <w:rFonts w:ascii="Times New Roman" w:hAnsi="Times New Roman" w:cs="Times New Roman"/>
          <w:lang w:val="en"/>
        </w:rPr>
        <w:t xml:space="preserve"> rise of 29.17%. The main business operations of the company's various businesses during the r</w:t>
      </w:r>
      <w:r>
        <w:rPr>
          <w:rFonts w:ascii="Times New Roman" w:hAnsi="Times New Roman" w:cs="Times New Roman"/>
          <w:lang w:val="en"/>
        </w:rPr>
        <w:t>eporting period are as follows:</w:t>
      </w:r>
    </w:p>
    <w:p w:rsidR="00D1230F" w:rsidRPr="00703F37" w:rsidRDefault="00D1230F" w:rsidP="00D1230F">
      <w:pPr>
        <w:spacing w:line="276" w:lineRule="auto"/>
        <w:rPr>
          <w:rFonts w:ascii="Times New Roman" w:hAnsi="Times New Roman" w:cs="Times New Roman"/>
          <w:b/>
          <w:lang w:val="en"/>
        </w:rPr>
      </w:pPr>
      <w:r w:rsidRPr="00703F37">
        <w:rPr>
          <w:rFonts w:ascii="Times New Roman" w:hAnsi="Times New Roman" w:cs="Times New Roman"/>
          <w:b/>
          <w:lang w:val="en"/>
        </w:rPr>
        <w:t xml:space="preserve"> (I) New Energy Battery Materials and Services  </w:t>
      </w:r>
    </w:p>
    <w:p w:rsidR="00D1230F" w:rsidRPr="00D1230F" w:rsidRDefault="00D1230F" w:rsidP="00D1230F">
      <w:pPr>
        <w:spacing w:line="276" w:lineRule="auto"/>
        <w:rPr>
          <w:rFonts w:ascii="Times New Roman" w:hAnsi="Times New Roman" w:cs="Times New Roman"/>
          <w:lang w:val="en"/>
        </w:rPr>
      </w:pPr>
      <w:r w:rsidRPr="00D1230F">
        <w:rPr>
          <w:rFonts w:ascii="Times New Roman" w:hAnsi="Times New Roman" w:cs="Times New Roman"/>
          <w:lang w:val="en"/>
        </w:rPr>
        <w:t xml:space="preserve">During the reporting period, the company's new energy battery materials and services business achieved </w:t>
      </w:r>
      <w:r w:rsidR="00993895">
        <w:rPr>
          <w:rFonts w:ascii="Times New Roman" w:hAnsi="Times New Roman" w:cs="Times New Roman"/>
          <w:lang w:val="en"/>
        </w:rPr>
        <w:t>a main business revenue of 5.38</w:t>
      </w:r>
      <w:r w:rsidRPr="00D1230F">
        <w:rPr>
          <w:rFonts w:ascii="Times New Roman" w:hAnsi="Times New Roman" w:cs="Times New Roman"/>
          <w:lang w:val="en"/>
        </w:rPr>
        <w:t xml:space="preserve"> billion yuan, a </w:t>
      </w:r>
      <w:proofErr w:type="spellStart"/>
      <w:r w:rsidR="004970D5">
        <w:rPr>
          <w:rFonts w:ascii="Times New Roman" w:hAnsi="Times New Roman" w:cs="Times New Roman"/>
          <w:lang w:val="en"/>
        </w:rPr>
        <w:t>yoy</w:t>
      </w:r>
      <w:proofErr w:type="spellEnd"/>
      <w:r w:rsidRPr="00D1230F">
        <w:rPr>
          <w:rFonts w:ascii="Times New Roman" w:hAnsi="Times New Roman" w:cs="Times New Roman"/>
          <w:lang w:val="en"/>
        </w:rPr>
        <w:t xml:space="preserve"> increase of 15.59%. The specific conditions of </w:t>
      </w:r>
      <w:r>
        <w:rPr>
          <w:rFonts w:ascii="Times New Roman" w:hAnsi="Times New Roman" w:cs="Times New Roman"/>
          <w:lang w:val="en"/>
        </w:rPr>
        <w:t xml:space="preserve">each business are as follows:  </w:t>
      </w:r>
    </w:p>
    <w:p w:rsidR="00D1230F" w:rsidRPr="00D1230F" w:rsidRDefault="00D1230F" w:rsidP="00D1230F">
      <w:pPr>
        <w:spacing w:line="276" w:lineRule="auto"/>
        <w:rPr>
          <w:rFonts w:ascii="Times New Roman" w:hAnsi="Times New Roman" w:cs="Times New Roman"/>
          <w:lang w:val="en"/>
        </w:rPr>
      </w:pPr>
      <w:r w:rsidRPr="00D1230F">
        <w:rPr>
          <w:rFonts w:ascii="Times New Roman" w:hAnsi="Times New Roman" w:cs="Times New Roman"/>
          <w:lang w:val="en"/>
        </w:rPr>
        <w:t xml:space="preserve"> 1. </w:t>
      </w:r>
      <w:r w:rsidR="004970D5">
        <w:rPr>
          <w:rFonts w:ascii="Times New Roman" w:hAnsi="Times New Roman" w:cs="Times New Roman"/>
          <w:lang w:val="en"/>
        </w:rPr>
        <w:t xml:space="preserve">Separator </w:t>
      </w:r>
      <w:r w:rsidRPr="00D1230F">
        <w:rPr>
          <w:rFonts w:ascii="Times New Roman" w:hAnsi="Times New Roman" w:cs="Times New Roman"/>
          <w:lang w:val="en"/>
        </w:rPr>
        <w:t xml:space="preserve">Materials and Coating Processing  </w:t>
      </w:r>
    </w:p>
    <w:p w:rsidR="00D1230F" w:rsidRPr="00D1230F" w:rsidRDefault="004970D5" w:rsidP="00D1230F">
      <w:pPr>
        <w:spacing w:line="276" w:lineRule="auto"/>
        <w:rPr>
          <w:rFonts w:ascii="Times New Roman" w:hAnsi="Times New Roman" w:cs="Times New Roman"/>
          <w:lang w:val="en"/>
        </w:rPr>
      </w:pPr>
      <w:r>
        <w:rPr>
          <w:rFonts w:ascii="Times New Roman" w:hAnsi="Times New Roman" w:cs="Times New Roman"/>
          <w:lang w:val="en"/>
        </w:rPr>
        <w:t xml:space="preserve">As the </w:t>
      </w:r>
      <w:r w:rsidR="00D1230F" w:rsidRPr="00D1230F">
        <w:rPr>
          <w:rFonts w:ascii="Times New Roman" w:hAnsi="Times New Roman" w:cs="Times New Roman"/>
          <w:lang w:val="en"/>
        </w:rPr>
        <w:t>world's only enterprise that has realized the industrial integration of "process, equipment,</w:t>
      </w:r>
      <w:r>
        <w:rPr>
          <w:rFonts w:ascii="Times New Roman" w:hAnsi="Times New Roman" w:cs="Times New Roman"/>
          <w:lang w:val="en"/>
        </w:rPr>
        <w:t xml:space="preserve"> and materials" for separators</w:t>
      </w:r>
      <w:r w:rsidR="00D1230F" w:rsidRPr="00D1230F">
        <w:rPr>
          <w:rFonts w:ascii="Times New Roman" w:hAnsi="Times New Roman" w:cs="Times New Roman"/>
          <w:lang w:val="en"/>
        </w:rPr>
        <w:t xml:space="preserve">, </w:t>
      </w:r>
      <w:r w:rsidR="000D3E2F">
        <w:rPr>
          <w:rFonts w:ascii="Times New Roman" w:hAnsi="Times New Roman" w:cs="Times New Roman"/>
          <w:lang w:val="en"/>
        </w:rPr>
        <w:t>PTL</w:t>
      </w:r>
      <w:r w:rsidR="00D1230F" w:rsidRPr="00D1230F">
        <w:rPr>
          <w:rFonts w:ascii="Times New Roman" w:hAnsi="Times New Roman" w:cs="Times New Roman"/>
          <w:lang w:val="en"/>
        </w:rPr>
        <w:t xml:space="preserve"> has built core technological barriers in key material fields such as base films, key coating equipment, coating materials, and binders over the years, achieving sustained collaborative and innovative development. In terms of the innovation of next-generation new materials, the company has actively laid out businesses in composite current collectors, solid-state electrolytes, chip materials, materials related to humanoid robots, and micro-</w:t>
      </w:r>
      <w:proofErr w:type="spellStart"/>
      <w:r w:rsidR="00D1230F" w:rsidRPr="00D1230F">
        <w:rPr>
          <w:rFonts w:ascii="Times New Roman" w:hAnsi="Times New Roman" w:cs="Times New Roman"/>
          <w:lang w:val="en"/>
        </w:rPr>
        <w:t>nano</w:t>
      </w:r>
      <w:proofErr w:type="spellEnd"/>
      <w:r w:rsidR="00D1230F" w:rsidRPr="00D1230F">
        <w:rPr>
          <w:rFonts w:ascii="Times New Roman" w:hAnsi="Times New Roman" w:cs="Times New Roman"/>
          <w:lang w:val="en"/>
        </w:rPr>
        <w:t xml:space="preserve"> metal powder production technology, which is expected to open</w:t>
      </w:r>
      <w:r w:rsidR="000D3E2F">
        <w:rPr>
          <w:rFonts w:ascii="Times New Roman" w:hAnsi="Times New Roman" w:cs="Times New Roman"/>
          <w:lang w:val="en"/>
        </w:rPr>
        <w:t xml:space="preserve"> a new chapter in new fields.</w:t>
      </w:r>
    </w:p>
    <w:p w:rsidR="00D1230F" w:rsidRPr="00D1230F" w:rsidRDefault="00D1230F" w:rsidP="00D1230F">
      <w:pPr>
        <w:spacing w:line="276" w:lineRule="auto"/>
        <w:rPr>
          <w:rFonts w:ascii="Times New Roman" w:hAnsi="Times New Roman" w:cs="Times New Roman"/>
          <w:lang w:val="en"/>
        </w:rPr>
      </w:pPr>
      <w:r w:rsidRPr="00D1230F">
        <w:rPr>
          <w:rFonts w:ascii="Times New Roman" w:hAnsi="Times New Roman" w:cs="Times New Roman"/>
          <w:lang w:val="en"/>
        </w:rPr>
        <w:t xml:space="preserve"> (1) Separator and Coating Processing  </w:t>
      </w:r>
    </w:p>
    <w:p w:rsidR="00D1230F" w:rsidRPr="00D1230F" w:rsidRDefault="00D1230F" w:rsidP="00D1230F">
      <w:pPr>
        <w:spacing w:line="276" w:lineRule="auto"/>
        <w:rPr>
          <w:rFonts w:ascii="Times New Roman" w:hAnsi="Times New Roman" w:cs="Times New Roman"/>
          <w:lang w:val="en"/>
        </w:rPr>
      </w:pPr>
      <w:r w:rsidRPr="00D1230F">
        <w:rPr>
          <w:rFonts w:ascii="Times New Roman" w:hAnsi="Times New Roman" w:cs="Times New Roman"/>
          <w:lang w:val="en"/>
        </w:rPr>
        <w:t>The company closely followed the incremental demand of power battery customers and matched it with capaci</w:t>
      </w:r>
      <w:r w:rsidR="000D3E2F">
        <w:rPr>
          <w:rFonts w:ascii="Times New Roman" w:hAnsi="Times New Roman" w:cs="Times New Roman"/>
          <w:lang w:val="en"/>
        </w:rPr>
        <w:t>ty support. At the same time, we</w:t>
      </w:r>
      <w:r w:rsidRPr="00D1230F">
        <w:rPr>
          <w:rFonts w:ascii="Times New Roman" w:hAnsi="Times New Roman" w:cs="Times New Roman"/>
          <w:lang w:val="en"/>
        </w:rPr>
        <w:t xml:space="preserve"> achieved breakthroughs in shipment volume in the consumer and energy storage fields. In the first half of 2025, the processing volume (sales volume) of</w:t>
      </w:r>
      <w:r w:rsidR="00993895">
        <w:rPr>
          <w:rFonts w:ascii="Times New Roman" w:hAnsi="Times New Roman" w:cs="Times New Roman"/>
          <w:lang w:val="en"/>
        </w:rPr>
        <w:t xml:space="preserve"> coated separators reached 4.77</w:t>
      </w:r>
      <w:r w:rsidRPr="00D1230F">
        <w:rPr>
          <w:rFonts w:ascii="Times New Roman" w:hAnsi="Times New Roman" w:cs="Times New Roman"/>
          <w:lang w:val="en"/>
        </w:rPr>
        <w:t xml:space="preserve"> billion </w:t>
      </w:r>
      <w:r w:rsidR="000D3E2F">
        <w:rPr>
          <w:rFonts w:ascii="Times New Roman" w:hAnsi="Times New Roman" w:cs="Times New Roman"/>
          <w:lang w:val="en"/>
        </w:rPr>
        <w:t>m</w:t>
      </w:r>
      <w:r w:rsidR="000D3E2F" w:rsidRPr="000D3E2F">
        <w:rPr>
          <w:rFonts w:ascii="Times New Roman" w:hAnsi="Times New Roman" w:cs="Times New Roman"/>
          <w:vertAlign w:val="superscript"/>
          <w:lang w:val="en"/>
        </w:rPr>
        <w:t>2</w:t>
      </w:r>
      <w:r w:rsidRPr="00D1230F">
        <w:rPr>
          <w:rFonts w:ascii="Times New Roman" w:hAnsi="Times New Roman" w:cs="Times New Roman"/>
          <w:lang w:val="en"/>
        </w:rPr>
        <w:t xml:space="preserve">, a </w:t>
      </w:r>
      <w:proofErr w:type="spellStart"/>
      <w:r w:rsidR="004970D5">
        <w:rPr>
          <w:rFonts w:ascii="Times New Roman" w:hAnsi="Times New Roman" w:cs="Times New Roman"/>
          <w:lang w:val="en"/>
        </w:rPr>
        <w:t>yoy</w:t>
      </w:r>
      <w:proofErr w:type="spellEnd"/>
      <w:r w:rsidRPr="00D1230F">
        <w:rPr>
          <w:rFonts w:ascii="Times New Roman" w:hAnsi="Times New Roman" w:cs="Times New Roman"/>
          <w:lang w:val="en"/>
        </w:rPr>
        <w:t xml:space="preserve"> increase of 63.85%, outpacing the industry's average growth rate; this accounted for 42.62% of China's wet-process separator shipments (11.2 billion </w:t>
      </w:r>
      <w:r w:rsidR="000D3E2F">
        <w:rPr>
          <w:rFonts w:ascii="Times New Roman" w:hAnsi="Times New Roman" w:cs="Times New Roman"/>
          <w:lang w:val="en"/>
        </w:rPr>
        <w:t>m</w:t>
      </w:r>
      <w:r w:rsidR="000D3E2F" w:rsidRPr="000D3E2F">
        <w:rPr>
          <w:rFonts w:ascii="Times New Roman" w:hAnsi="Times New Roman" w:cs="Times New Roman"/>
          <w:vertAlign w:val="superscript"/>
          <w:lang w:val="en"/>
        </w:rPr>
        <w:t>2</w:t>
      </w:r>
      <w:r w:rsidRPr="00D1230F">
        <w:rPr>
          <w:rFonts w:ascii="Times New Roman" w:hAnsi="Times New Roman" w:cs="Times New Roman"/>
          <w:lang w:val="en"/>
        </w:rPr>
        <w:t xml:space="preserve">) in the same period, maintaining a leading market share. Benefiting from the gradual commissioning of efficient production capacity of Sichuan </w:t>
      </w:r>
      <w:r w:rsidR="000D3E2F">
        <w:rPr>
          <w:rFonts w:ascii="Times New Roman" w:hAnsi="Times New Roman" w:cs="Times New Roman"/>
          <w:lang w:val="en"/>
        </w:rPr>
        <w:t>AET</w:t>
      </w:r>
      <w:r w:rsidRPr="00D1230F">
        <w:rPr>
          <w:rFonts w:ascii="Times New Roman" w:hAnsi="Times New Roman" w:cs="Times New Roman"/>
          <w:lang w:val="en"/>
        </w:rPr>
        <w:t xml:space="preserve">, the company's separator </w:t>
      </w:r>
      <w:r w:rsidR="000D3E2F">
        <w:rPr>
          <w:rFonts w:ascii="Times New Roman" w:hAnsi="Times New Roman" w:cs="Times New Roman"/>
          <w:lang w:val="en"/>
        </w:rPr>
        <w:t xml:space="preserve">and </w:t>
      </w:r>
      <w:r w:rsidRPr="00D1230F">
        <w:rPr>
          <w:rFonts w:ascii="Times New Roman" w:hAnsi="Times New Roman" w:cs="Times New Roman"/>
          <w:lang w:val="en"/>
        </w:rPr>
        <w:t xml:space="preserve">base film products were continuously introduced to downstream power and energy storage customers in the first half of 2025, with the sales volume of base films reaching 528 million </w:t>
      </w:r>
      <w:r w:rsidR="000D3E2F">
        <w:rPr>
          <w:rFonts w:ascii="Times New Roman" w:hAnsi="Times New Roman" w:cs="Times New Roman"/>
          <w:lang w:val="en"/>
        </w:rPr>
        <w:t>m</w:t>
      </w:r>
      <w:r w:rsidR="000D3E2F" w:rsidRPr="000D3E2F">
        <w:rPr>
          <w:rFonts w:ascii="Times New Roman" w:hAnsi="Times New Roman" w:cs="Times New Roman"/>
          <w:vertAlign w:val="superscript"/>
          <w:lang w:val="en"/>
        </w:rPr>
        <w:t>2</w:t>
      </w:r>
      <w:r w:rsidRPr="00D1230F">
        <w:rPr>
          <w:rFonts w:ascii="Times New Roman" w:hAnsi="Times New Roman" w:cs="Times New Roman"/>
          <w:lang w:val="en"/>
        </w:rPr>
        <w:t xml:space="preserve">, achieving </w:t>
      </w:r>
      <w:r>
        <w:rPr>
          <w:rFonts w:ascii="Times New Roman" w:hAnsi="Times New Roman" w:cs="Times New Roman"/>
          <w:lang w:val="en"/>
        </w:rPr>
        <w:t xml:space="preserve">leapfrog growth.  </w:t>
      </w:r>
    </w:p>
    <w:p w:rsidR="00D1230F" w:rsidRPr="00D1230F" w:rsidRDefault="00D1230F" w:rsidP="00D1230F">
      <w:pPr>
        <w:spacing w:line="276" w:lineRule="auto"/>
        <w:rPr>
          <w:rFonts w:ascii="Times New Roman" w:hAnsi="Times New Roman" w:cs="Times New Roman"/>
          <w:lang w:val="en"/>
        </w:rPr>
      </w:pPr>
      <w:r w:rsidRPr="00D1230F">
        <w:rPr>
          <w:rFonts w:ascii="Times New Roman" w:hAnsi="Times New Roman" w:cs="Times New Roman"/>
          <w:lang w:val="en"/>
        </w:rPr>
        <w:t>The company's next-generation ultra-high-speed suspended separator coating equipment has been applied in batches; the self-developed next-generation ultra-wide width, low-energy consumption wet-process base film production lines have been successfully developed and actively deployed. In collaboration with</w:t>
      </w:r>
      <w:r w:rsidR="000D3E2F">
        <w:rPr>
          <w:rFonts w:ascii="Times New Roman" w:hAnsi="Times New Roman" w:cs="Times New Roman"/>
          <w:lang w:val="en"/>
        </w:rPr>
        <w:t xml:space="preserve"> the equipment team of Sichuan </w:t>
      </w:r>
      <w:proofErr w:type="spellStart"/>
      <w:r w:rsidR="000D3E2F">
        <w:rPr>
          <w:rFonts w:ascii="Times New Roman" w:hAnsi="Times New Roman" w:cs="Times New Roman"/>
          <w:lang w:val="en"/>
        </w:rPr>
        <w:t>Katop</w:t>
      </w:r>
      <w:proofErr w:type="spellEnd"/>
      <w:r w:rsidRPr="00D1230F">
        <w:rPr>
          <w:rFonts w:ascii="Times New Roman" w:hAnsi="Times New Roman" w:cs="Times New Roman"/>
          <w:lang w:val="en"/>
        </w:rPr>
        <w:t xml:space="preserve">, the company has orderly carried out the development of production lines with an </w:t>
      </w:r>
      <w:r w:rsidR="000D3E2F">
        <w:rPr>
          <w:rFonts w:ascii="Times New Roman" w:hAnsi="Times New Roman" w:cs="Times New Roman"/>
          <w:lang w:val="en"/>
        </w:rPr>
        <w:t>annual capacity of 300 million m</w:t>
      </w:r>
      <w:r w:rsidR="000D3E2F" w:rsidRPr="000D3E2F">
        <w:rPr>
          <w:rFonts w:ascii="Times New Roman" w:hAnsi="Times New Roman" w:cs="Times New Roman"/>
          <w:vertAlign w:val="superscript"/>
          <w:lang w:val="en"/>
        </w:rPr>
        <w:t>2</w:t>
      </w:r>
      <w:r w:rsidRPr="00D1230F">
        <w:rPr>
          <w:rFonts w:ascii="Times New Roman" w:hAnsi="Times New Roman" w:cs="Times New Roman"/>
          <w:lang w:val="en"/>
        </w:rPr>
        <w:t xml:space="preserve">, based on the existing single-line capacity of 200 million </w:t>
      </w:r>
      <w:r w:rsidR="000D3E2F">
        <w:rPr>
          <w:rFonts w:ascii="Times New Roman" w:hAnsi="Times New Roman" w:cs="Times New Roman"/>
          <w:lang w:val="en"/>
        </w:rPr>
        <w:t>m</w:t>
      </w:r>
      <w:r w:rsidR="000D3E2F" w:rsidRPr="000D3E2F">
        <w:rPr>
          <w:rFonts w:ascii="Times New Roman" w:hAnsi="Times New Roman" w:cs="Times New Roman"/>
          <w:vertAlign w:val="superscript"/>
          <w:lang w:val="en"/>
        </w:rPr>
        <w:t>2</w:t>
      </w:r>
      <w:r w:rsidRPr="00D1230F">
        <w:rPr>
          <w:rFonts w:ascii="Times New Roman" w:hAnsi="Times New Roman" w:cs="Times New Roman"/>
          <w:lang w:val="en"/>
        </w:rPr>
        <w:t xml:space="preserve"> per year. A series of next-generation separator products featuring high temperature resistance, puncture resistance, ultra-thinness, high porosity and high </w:t>
      </w:r>
      <w:r w:rsidRPr="00D1230F">
        <w:rPr>
          <w:rFonts w:ascii="Times New Roman" w:hAnsi="Times New Roman" w:cs="Times New Roman"/>
          <w:lang w:val="en"/>
        </w:rPr>
        <w:lastRenderedPageBreak/>
        <w:t xml:space="preserve">strength, as well as diverse morphologies and forms have been continuously launched. Flame-retardant separators, glued separators for digital silicon </w:t>
      </w:r>
      <w:r w:rsidR="006D5CF2">
        <w:rPr>
          <w:rFonts w:ascii="Times New Roman" w:hAnsi="Times New Roman" w:cs="Times New Roman"/>
          <w:lang w:val="en"/>
        </w:rPr>
        <w:t>anode</w:t>
      </w:r>
      <w:r w:rsidRPr="00D1230F">
        <w:rPr>
          <w:rFonts w:ascii="Times New Roman" w:hAnsi="Times New Roman" w:cs="Times New Roman"/>
          <w:lang w:val="en"/>
        </w:rPr>
        <w:t xml:space="preserve"> batteries, and fluorine-free water-based environmental protection new process technologies have entered the application stage, further consolidating the company's competitive advantage in the global coated separator industry</w:t>
      </w:r>
      <w:r w:rsidR="0015014B">
        <w:rPr>
          <w:rFonts w:ascii="Times New Roman" w:hAnsi="Times New Roman" w:cs="Times New Roman"/>
          <w:lang w:val="en"/>
        </w:rPr>
        <w:t>.</w:t>
      </w:r>
    </w:p>
    <w:p w:rsidR="00D1230F" w:rsidRPr="00D1230F" w:rsidRDefault="00D1230F" w:rsidP="00D1230F">
      <w:pPr>
        <w:spacing w:line="276" w:lineRule="auto"/>
        <w:rPr>
          <w:rFonts w:ascii="Times New Roman" w:hAnsi="Times New Roman" w:cs="Times New Roman"/>
          <w:lang w:val="en"/>
        </w:rPr>
      </w:pPr>
      <w:r w:rsidRPr="00D1230F">
        <w:rPr>
          <w:rFonts w:ascii="Times New Roman" w:hAnsi="Times New Roman" w:cs="Times New Roman"/>
          <w:lang w:val="en"/>
        </w:rPr>
        <w:t>Relying on its long-term in-depth cultivation in separator and coating material technologies, and through AI information integration and automated process iteration, the company has realized "</w:t>
      </w:r>
      <w:r w:rsidR="00091BF5">
        <w:rPr>
          <w:rFonts w:ascii="Times New Roman" w:hAnsi="Times New Roman" w:cs="Times New Roman"/>
          <w:lang w:val="en"/>
        </w:rPr>
        <w:t>l</w:t>
      </w:r>
      <w:r w:rsidR="00091BF5" w:rsidRPr="00091BF5">
        <w:rPr>
          <w:rFonts w:ascii="Times New Roman" w:hAnsi="Times New Roman" w:cs="Times New Roman"/>
          <w:lang w:val="en"/>
        </w:rPr>
        <w:t>ights-out factory</w:t>
      </w:r>
      <w:r w:rsidRPr="00D1230F">
        <w:rPr>
          <w:rFonts w:ascii="Times New Roman" w:hAnsi="Times New Roman" w:cs="Times New Roman"/>
          <w:lang w:val="en"/>
        </w:rPr>
        <w:t xml:space="preserve">" production in multiple bases and is moving towards the new goal of "zero-carbon factories". At present, the company has completed the localized deployment of AI hardware and systems; in the future, it will use AI technology to gradually reshape business processes, shorten emergency response time and improve production efficiency. Based on sound business systems and high-quality data, it will deepen lean production and operation management, and continuously promote the digital and intelligent transformation of AI in the company's manufacturing field.  </w:t>
      </w:r>
    </w:p>
    <w:p w:rsidR="00D1230F" w:rsidRPr="00D1230F" w:rsidRDefault="00D1230F" w:rsidP="00D1230F">
      <w:pPr>
        <w:spacing w:line="276" w:lineRule="auto"/>
        <w:rPr>
          <w:rFonts w:ascii="Times New Roman" w:hAnsi="Times New Roman" w:cs="Times New Roman"/>
          <w:lang w:val="en"/>
        </w:rPr>
      </w:pPr>
      <w:r w:rsidRPr="00D1230F">
        <w:rPr>
          <w:rFonts w:ascii="Times New Roman" w:hAnsi="Times New Roman" w:cs="Times New Roman"/>
          <w:lang w:val="en"/>
        </w:rPr>
        <w:t xml:space="preserve"> (2) PVDF and Binders  </w:t>
      </w:r>
    </w:p>
    <w:p w:rsidR="00D1230F" w:rsidRPr="00D1230F" w:rsidRDefault="00D1230F" w:rsidP="00D1230F">
      <w:pPr>
        <w:spacing w:line="276" w:lineRule="auto"/>
        <w:rPr>
          <w:rFonts w:ascii="Times New Roman" w:hAnsi="Times New Roman" w:cs="Times New Roman"/>
          <w:lang w:val="en"/>
        </w:rPr>
      </w:pPr>
      <w:r w:rsidRPr="00D1230F">
        <w:rPr>
          <w:rFonts w:ascii="Times New Roman" w:hAnsi="Times New Roman" w:cs="Times New Roman"/>
          <w:lang w:val="en"/>
        </w:rPr>
        <w:t xml:space="preserve">In the first half of 2025, the lithium battery-grade </w:t>
      </w:r>
      <w:proofErr w:type="spellStart"/>
      <w:r w:rsidRPr="00D1230F">
        <w:rPr>
          <w:rFonts w:ascii="Times New Roman" w:hAnsi="Times New Roman" w:cs="Times New Roman"/>
          <w:lang w:val="en"/>
        </w:rPr>
        <w:t>polyvinylidene</w:t>
      </w:r>
      <w:proofErr w:type="spellEnd"/>
      <w:r w:rsidRPr="00D1230F">
        <w:rPr>
          <w:rFonts w:ascii="Times New Roman" w:hAnsi="Times New Roman" w:cs="Times New Roman"/>
          <w:lang w:val="en"/>
        </w:rPr>
        <w:t xml:space="preserve"> fluoride (PVDF) market was highly competitive. With excellent product performance and accurate market positioning, the company achieved a sales volume of 14,607 tons of PVDF and fine chemicals, a substantial </w:t>
      </w:r>
      <w:proofErr w:type="spellStart"/>
      <w:r w:rsidR="004970D5">
        <w:rPr>
          <w:rFonts w:ascii="Times New Roman" w:hAnsi="Times New Roman" w:cs="Times New Roman"/>
          <w:lang w:val="en"/>
        </w:rPr>
        <w:t>yoy</w:t>
      </w:r>
      <w:proofErr w:type="spellEnd"/>
      <w:r w:rsidRPr="00D1230F">
        <w:rPr>
          <w:rFonts w:ascii="Times New Roman" w:hAnsi="Times New Roman" w:cs="Times New Roman"/>
          <w:lang w:val="en"/>
        </w:rPr>
        <w:t xml:space="preserve"> increase of 68.19%, and maintained a leading market share in lithium battery-grade PVDF. Focusing on fields such as separators and </w:t>
      </w:r>
      <w:r w:rsidR="006D5CF2">
        <w:rPr>
          <w:rFonts w:ascii="Times New Roman" w:hAnsi="Times New Roman" w:cs="Times New Roman" w:hint="eastAsia"/>
          <w:lang w:val="en"/>
        </w:rPr>
        <w:t>cathode</w:t>
      </w:r>
      <w:r w:rsidRPr="00D1230F">
        <w:rPr>
          <w:rFonts w:ascii="Times New Roman" w:hAnsi="Times New Roman" w:cs="Times New Roman"/>
          <w:lang w:val="en"/>
        </w:rPr>
        <w:t xml:space="preserve">, the company has continuously increased R&amp;D investment in many new products to improve product adhesiveness, </w:t>
      </w:r>
      <w:proofErr w:type="spellStart"/>
      <w:r w:rsidRPr="00D1230F">
        <w:rPr>
          <w:rFonts w:ascii="Times New Roman" w:hAnsi="Times New Roman" w:cs="Times New Roman"/>
          <w:lang w:val="en"/>
        </w:rPr>
        <w:t>dispersibility</w:t>
      </w:r>
      <w:proofErr w:type="spellEnd"/>
      <w:r w:rsidRPr="00D1230F">
        <w:rPr>
          <w:rFonts w:ascii="Times New Roman" w:hAnsi="Times New Roman" w:cs="Times New Roman"/>
          <w:lang w:val="en"/>
        </w:rPr>
        <w:t>, and flexibility, as well as enhance its technical servic</w:t>
      </w:r>
      <w:r>
        <w:rPr>
          <w:rFonts w:ascii="Times New Roman" w:hAnsi="Times New Roman" w:cs="Times New Roman"/>
          <w:lang w:val="en"/>
        </w:rPr>
        <w:t xml:space="preserve">e capabilities for customers.  </w:t>
      </w:r>
    </w:p>
    <w:p w:rsidR="00D1230F" w:rsidRPr="00D1230F" w:rsidRDefault="006D5CF2" w:rsidP="00D1230F">
      <w:pPr>
        <w:spacing w:line="276" w:lineRule="auto"/>
        <w:rPr>
          <w:rFonts w:ascii="Times New Roman" w:hAnsi="Times New Roman" w:cs="Times New Roman"/>
          <w:lang w:val="en"/>
        </w:rPr>
      </w:pPr>
      <w:r>
        <w:rPr>
          <w:rFonts w:ascii="Times New Roman" w:hAnsi="Times New Roman" w:cs="Times New Roman"/>
          <w:lang w:val="en"/>
        </w:rPr>
        <w:t>I</w:t>
      </w:r>
      <w:r>
        <w:rPr>
          <w:rFonts w:ascii="Times New Roman" w:hAnsi="Times New Roman" w:cs="Times New Roman" w:hint="eastAsia"/>
          <w:lang w:val="en"/>
        </w:rPr>
        <w:t>ndigo</w:t>
      </w:r>
      <w:r w:rsidR="00D1230F" w:rsidRPr="00D1230F">
        <w:rPr>
          <w:rFonts w:ascii="Times New Roman" w:hAnsi="Times New Roman" w:cs="Times New Roman"/>
          <w:lang w:val="en"/>
        </w:rPr>
        <w:t xml:space="preserve">, the company's </w:t>
      </w:r>
      <w:r>
        <w:rPr>
          <w:rFonts w:ascii="Times New Roman" w:hAnsi="Times New Roman" w:cs="Times New Roman"/>
          <w:lang w:val="en"/>
        </w:rPr>
        <w:t xml:space="preserve">associated enterprise, is the </w:t>
      </w:r>
      <w:r w:rsidR="00D1230F" w:rsidRPr="00D1230F">
        <w:rPr>
          <w:rFonts w:ascii="Times New Roman" w:hAnsi="Times New Roman" w:cs="Times New Roman"/>
          <w:lang w:val="en"/>
        </w:rPr>
        <w:t>first enterprise in the industry mainly engaged in PAA-based water-based</w:t>
      </w:r>
      <w:r>
        <w:rPr>
          <w:rFonts w:ascii="Times New Roman" w:hAnsi="Times New Roman" w:cs="Times New Roman"/>
          <w:lang w:val="en"/>
        </w:rPr>
        <w:t xml:space="preserve"> binders for lithium batteries</w:t>
      </w:r>
      <w:r w:rsidR="00D1230F" w:rsidRPr="00D1230F">
        <w:rPr>
          <w:rFonts w:ascii="Times New Roman" w:hAnsi="Times New Roman" w:cs="Times New Roman"/>
          <w:lang w:val="en"/>
        </w:rPr>
        <w:t xml:space="preserve">. It holds a leading market share, has obtained nearly 100 domestic and overseas patents, and its products have prominent performance advantages, which can improve the comprehensive electrical performance, cycle life, and fast-charging capability of lithium batteries. </w:t>
      </w:r>
      <w:r>
        <w:rPr>
          <w:rFonts w:ascii="Times New Roman" w:hAnsi="Times New Roman" w:cs="Times New Roman"/>
          <w:lang w:val="en"/>
        </w:rPr>
        <w:t>Indigo</w:t>
      </w:r>
      <w:r w:rsidR="00D1230F" w:rsidRPr="00D1230F">
        <w:rPr>
          <w:rFonts w:ascii="Times New Roman" w:hAnsi="Times New Roman" w:cs="Times New Roman"/>
          <w:lang w:val="en"/>
        </w:rPr>
        <w:t xml:space="preserve"> responded to fierce competition through technological and product upgrades, and supported the sustained growth of its business through scale effects and customer stickiness. In the first half of 2025, it achieved a product sales volume of 38,200 tons, a </w:t>
      </w:r>
      <w:proofErr w:type="spellStart"/>
      <w:r w:rsidR="004970D5">
        <w:rPr>
          <w:rFonts w:ascii="Times New Roman" w:hAnsi="Times New Roman" w:cs="Times New Roman"/>
          <w:lang w:val="en"/>
        </w:rPr>
        <w:t>yoy</w:t>
      </w:r>
      <w:proofErr w:type="spellEnd"/>
      <w:r w:rsidR="00D1230F">
        <w:rPr>
          <w:rFonts w:ascii="Times New Roman" w:hAnsi="Times New Roman" w:cs="Times New Roman"/>
          <w:lang w:val="en"/>
        </w:rPr>
        <w:t xml:space="preserve"> increase of 153</w:t>
      </w:r>
      <w:r>
        <w:rPr>
          <w:rFonts w:ascii="Times New Roman" w:hAnsi="Times New Roman" w:cs="Times New Roman"/>
          <w:lang w:val="en"/>
        </w:rPr>
        <w:t>.1%.</w:t>
      </w:r>
    </w:p>
    <w:p w:rsidR="00D1230F" w:rsidRPr="00D1230F" w:rsidRDefault="00D1230F" w:rsidP="00D1230F">
      <w:pPr>
        <w:spacing w:line="276" w:lineRule="auto"/>
        <w:rPr>
          <w:rFonts w:ascii="Times New Roman" w:hAnsi="Times New Roman" w:cs="Times New Roman"/>
          <w:lang w:val="en"/>
        </w:rPr>
      </w:pPr>
      <w:r w:rsidRPr="00D1230F">
        <w:rPr>
          <w:rFonts w:ascii="Times New Roman" w:hAnsi="Times New Roman" w:cs="Times New Roman"/>
          <w:lang w:val="en"/>
        </w:rPr>
        <w:t xml:space="preserve"> (3) Metal Composite Films  </w:t>
      </w:r>
    </w:p>
    <w:p w:rsidR="00D1230F" w:rsidRPr="00D1230F" w:rsidRDefault="00D1230F" w:rsidP="00D1230F">
      <w:pPr>
        <w:spacing w:line="276" w:lineRule="auto"/>
        <w:rPr>
          <w:rFonts w:ascii="Times New Roman" w:hAnsi="Times New Roman" w:cs="Times New Roman"/>
          <w:lang w:val="en"/>
        </w:rPr>
      </w:pPr>
      <w:r w:rsidRPr="00D1230F">
        <w:rPr>
          <w:rFonts w:ascii="Times New Roman" w:hAnsi="Times New Roman" w:cs="Times New Roman"/>
          <w:lang w:val="en"/>
        </w:rPr>
        <w:t>In the first half of 2025, the aluminum-plastic composite film market remained highly competitive. The company continuously improved product quality, made sustained efforts in the mid-to-high-end customer market, and expanded its customer share in the mid-to-high-end market. By increasing the self-supply rate of materials, upgrading equipment, optimizing processes, and improving supply chain management, it actively reduced costs and increased efficiency, partially offsetting the pressure from product price fluctuations and achieving business profi</w:t>
      </w:r>
      <w:r w:rsidR="00DF2C2C">
        <w:rPr>
          <w:rFonts w:ascii="Times New Roman" w:hAnsi="Times New Roman" w:cs="Times New Roman"/>
          <w:lang w:val="en"/>
        </w:rPr>
        <w:t>tability. In the first half of 2025</w:t>
      </w:r>
      <w:r w:rsidRPr="00D1230F">
        <w:rPr>
          <w:rFonts w:ascii="Times New Roman" w:hAnsi="Times New Roman" w:cs="Times New Roman"/>
          <w:lang w:val="en"/>
        </w:rPr>
        <w:t xml:space="preserve">, the company's sales volume of aluminum-plastic composite films reached 9.66 million </w:t>
      </w:r>
      <w:r w:rsidR="00DF2C2C">
        <w:rPr>
          <w:rFonts w:ascii="Times New Roman" w:hAnsi="Times New Roman" w:cs="Times New Roman" w:hint="eastAsia"/>
          <w:lang w:val="en"/>
        </w:rPr>
        <w:t>m</w:t>
      </w:r>
      <w:r w:rsidR="00DF2C2C" w:rsidRPr="00DF2C2C">
        <w:rPr>
          <w:rFonts w:ascii="Times New Roman" w:hAnsi="Times New Roman" w:cs="Times New Roman"/>
          <w:vertAlign w:val="superscript"/>
          <w:lang w:val="en"/>
        </w:rPr>
        <w:t>2</w:t>
      </w:r>
      <w:r w:rsidRPr="00D1230F">
        <w:rPr>
          <w:rFonts w:ascii="Times New Roman" w:hAnsi="Times New Roman" w:cs="Times New Roman"/>
          <w:lang w:val="en"/>
        </w:rPr>
        <w:t xml:space="preserve">, a </w:t>
      </w:r>
      <w:proofErr w:type="spellStart"/>
      <w:r w:rsidR="004970D5">
        <w:rPr>
          <w:rFonts w:ascii="Times New Roman" w:hAnsi="Times New Roman" w:cs="Times New Roman"/>
          <w:lang w:val="en"/>
        </w:rPr>
        <w:t>yoy</w:t>
      </w:r>
      <w:proofErr w:type="spellEnd"/>
      <w:r w:rsidRPr="00D1230F">
        <w:rPr>
          <w:rFonts w:ascii="Times New Roman" w:hAnsi="Times New Roman" w:cs="Times New Roman"/>
          <w:lang w:val="en"/>
        </w:rPr>
        <w:t xml:space="preserve"> increase of 28.97%. The company's composite copper foil and composite aluminum foil have completed testing and entered the preparation stage for mass</w:t>
      </w:r>
      <w:r>
        <w:rPr>
          <w:rFonts w:ascii="Times New Roman" w:hAnsi="Times New Roman" w:cs="Times New Roman"/>
          <w:lang w:val="en"/>
        </w:rPr>
        <w:t xml:space="preserve"> production.  </w:t>
      </w:r>
    </w:p>
    <w:p w:rsidR="00D1230F" w:rsidRPr="00D1230F" w:rsidRDefault="00D1230F" w:rsidP="00D1230F">
      <w:pPr>
        <w:spacing w:line="276" w:lineRule="auto"/>
        <w:rPr>
          <w:rFonts w:ascii="Times New Roman" w:hAnsi="Times New Roman" w:cs="Times New Roman"/>
          <w:lang w:val="en"/>
        </w:rPr>
      </w:pPr>
      <w:r w:rsidRPr="00D1230F">
        <w:rPr>
          <w:rFonts w:ascii="Times New Roman" w:hAnsi="Times New Roman" w:cs="Times New Roman"/>
          <w:lang w:val="en"/>
        </w:rPr>
        <w:t xml:space="preserve"> (4) Other New Material Products  </w:t>
      </w:r>
    </w:p>
    <w:p w:rsidR="00D1230F" w:rsidRDefault="00D1230F" w:rsidP="00D1230F">
      <w:pPr>
        <w:spacing w:line="276" w:lineRule="auto"/>
        <w:rPr>
          <w:rFonts w:ascii="Times New Roman" w:hAnsi="Times New Roman" w:cs="Times New Roman"/>
          <w:lang w:val="en"/>
        </w:rPr>
      </w:pPr>
      <w:r w:rsidRPr="00D1230F">
        <w:rPr>
          <w:rFonts w:ascii="Times New Roman" w:hAnsi="Times New Roman" w:cs="Times New Roman"/>
          <w:lang w:val="en"/>
        </w:rPr>
        <w:lastRenderedPageBreak/>
        <w:t>Innovative products such as high-strength, high-elongation alloy foils suitable for the sulfide system of solid-state batteries, ultra-strong foils, and mesh-punched copper foils have been developed and entered the customer evaluation stage; oxide solid-state electrolytes (LATP, LLZO) have achieved mass production. Nano-alumina for chip polishing has undergone small-scale testing at customer sites; Low-α spherical alumina for chip packaging has been developed and is currently under customer evaluation. At the same time, the company is developing silicon nitride for bearings and substrate materials of humanoid robots, striving to achieve import substitution. In the field of additive manufacturing, the company has reserved a variety of micro-</w:t>
      </w:r>
      <w:proofErr w:type="spellStart"/>
      <w:r w:rsidRPr="00D1230F">
        <w:rPr>
          <w:rFonts w:ascii="Times New Roman" w:hAnsi="Times New Roman" w:cs="Times New Roman"/>
          <w:lang w:val="en"/>
        </w:rPr>
        <w:t>nano</w:t>
      </w:r>
      <w:proofErr w:type="spellEnd"/>
      <w:r w:rsidRPr="00D1230F">
        <w:rPr>
          <w:rFonts w:ascii="Times New Roman" w:hAnsi="Times New Roman" w:cs="Times New Roman"/>
          <w:lang w:val="en"/>
        </w:rPr>
        <w:t xml:space="preserve"> metal powder production technologies, which are expected to gain new application scenarios.</w:t>
      </w:r>
    </w:p>
    <w:p w:rsidR="00C054CC" w:rsidRPr="00C054CC" w:rsidRDefault="00C054CC" w:rsidP="00C054CC">
      <w:pPr>
        <w:spacing w:line="276" w:lineRule="auto"/>
        <w:rPr>
          <w:rFonts w:ascii="Times New Roman" w:hAnsi="Times New Roman" w:cs="Times New Roman"/>
          <w:lang w:val="en"/>
        </w:rPr>
      </w:pPr>
      <w:r w:rsidRPr="00C054CC">
        <w:rPr>
          <w:rFonts w:ascii="Times New Roman" w:hAnsi="Times New Roman" w:cs="Times New Roman"/>
          <w:lang w:val="en"/>
        </w:rPr>
        <w:t>2. Anode Materials</w:t>
      </w:r>
    </w:p>
    <w:p w:rsidR="00C054CC" w:rsidRPr="00C054CC" w:rsidRDefault="00C054CC" w:rsidP="00C054CC">
      <w:pPr>
        <w:spacing w:line="276" w:lineRule="auto"/>
        <w:rPr>
          <w:rFonts w:ascii="Times New Roman" w:hAnsi="Times New Roman" w:cs="Times New Roman"/>
          <w:lang w:val="en"/>
        </w:rPr>
      </w:pPr>
      <w:r w:rsidRPr="00C054CC">
        <w:rPr>
          <w:rFonts w:ascii="Times New Roman" w:hAnsi="Times New Roman" w:cs="Times New Roman"/>
          <w:lang w:val="en"/>
        </w:rPr>
        <w:t xml:space="preserve">(1) In recent years, prices in the anode materials industry have remained at a low level. The company has strictly controlled the shipment volume of low-priced products to maintain a healthy cash flow. In the first half of 2025, the company's anode materials shipments reached approximately 70,000 tons, representing a slight </w:t>
      </w:r>
      <w:proofErr w:type="spellStart"/>
      <w:r>
        <w:rPr>
          <w:rFonts w:ascii="Times New Roman" w:hAnsi="Times New Roman" w:cs="Times New Roman"/>
          <w:lang w:val="en"/>
        </w:rPr>
        <w:t>yoy</w:t>
      </w:r>
      <w:proofErr w:type="spellEnd"/>
      <w:r w:rsidRPr="00C054CC">
        <w:rPr>
          <w:rFonts w:ascii="Times New Roman" w:hAnsi="Times New Roman" w:cs="Times New Roman"/>
          <w:lang w:val="en"/>
        </w:rPr>
        <w:t xml:space="preserve"> increase. During the reporting period, through the implementation of various cost-reduction and efficiency-enhancement measures—such as raw material processing technology optimization, graphitization technical transformation, and supply chain management—the company's anode materials production costs have been reduced and profitability has been positively improved. By the end of the period, inventory had further decreased, and the overall inventory scale had m</w:t>
      </w:r>
      <w:r>
        <w:rPr>
          <w:rFonts w:ascii="Times New Roman" w:hAnsi="Times New Roman" w:cs="Times New Roman"/>
          <w:lang w:val="en"/>
        </w:rPr>
        <w:t>oved toward a reasonable level.</w:t>
      </w:r>
    </w:p>
    <w:p w:rsidR="00C054CC" w:rsidRPr="00C054CC" w:rsidRDefault="00C054CC" w:rsidP="00C054CC">
      <w:pPr>
        <w:spacing w:line="276" w:lineRule="auto"/>
        <w:rPr>
          <w:rFonts w:ascii="Times New Roman" w:hAnsi="Times New Roman" w:cs="Times New Roman"/>
          <w:lang w:val="en"/>
        </w:rPr>
      </w:pPr>
      <w:r w:rsidRPr="00C054CC">
        <w:rPr>
          <w:rFonts w:ascii="Times New Roman" w:hAnsi="Times New Roman" w:cs="Times New Roman"/>
          <w:lang w:val="en"/>
        </w:rPr>
        <w:t xml:space="preserve">(2) In terms of capacity construction, the first-phase capacity of Sichuan </w:t>
      </w:r>
      <w:proofErr w:type="spellStart"/>
      <w:r w:rsidRPr="00C054CC">
        <w:rPr>
          <w:rFonts w:ascii="Times New Roman" w:hAnsi="Times New Roman" w:cs="Times New Roman"/>
          <w:lang w:val="en"/>
        </w:rPr>
        <w:t>Zichen</w:t>
      </w:r>
      <w:proofErr w:type="spellEnd"/>
      <w:r w:rsidRPr="00C054CC">
        <w:rPr>
          <w:rFonts w:ascii="Times New Roman" w:hAnsi="Times New Roman" w:cs="Times New Roman"/>
          <w:lang w:val="en"/>
        </w:rPr>
        <w:t xml:space="preserve"> has been gradually put into production. The company has conducted pilot batch production for the core products that are about to enter mass production; test results show that the products meet customer requirements, and unit cost control is expected to reach the target level. The company's core customers have completed factory audits, and shipments have been gradually realized. In the second half of 2025, with the steady commissioning of the company's advanced production capacity and the expected mass supply of innovative products, the per-ton profitability of the company's anode materials business is expected to show a quarter-by-quarter im</w:t>
      </w:r>
      <w:r>
        <w:rPr>
          <w:rFonts w:ascii="Times New Roman" w:hAnsi="Times New Roman" w:cs="Times New Roman"/>
          <w:lang w:val="en"/>
        </w:rPr>
        <w:t>provement trend.</w:t>
      </w:r>
    </w:p>
    <w:p w:rsidR="00C054CC" w:rsidRPr="00C054CC" w:rsidRDefault="00C054CC" w:rsidP="00C054CC">
      <w:pPr>
        <w:spacing w:line="276" w:lineRule="auto"/>
        <w:rPr>
          <w:rFonts w:ascii="Times New Roman" w:hAnsi="Times New Roman" w:cs="Times New Roman"/>
          <w:lang w:val="en"/>
        </w:rPr>
      </w:pPr>
      <w:r w:rsidRPr="00C054CC">
        <w:rPr>
          <w:rFonts w:ascii="Times New Roman" w:hAnsi="Times New Roman" w:cs="Times New Roman"/>
          <w:lang w:val="en"/>
        </w:rPr>
        <w:t xml:space="preserve">(3) In terms of new product development and customer onboarding, </w:t>
      </w:r>
      <w:r w:rsidR="00571259">
        <w:rPr>
          <w:rFonts w:ascii="Times New Roman" w:hAnsi="Times New Roman" w:cs="Times New Roman"/>
          <w:lang w:val="en"/>
        </w:rPr>
        <w:t>t</w:t>
      </w:r>
      <w:r w:rsidR="00571259" w:rsidRPr="00571259">
        <w:rPr>
          <w:rFonts w:ascii="Times New Roman" w:hAnsi="Times New Roman" w:cs="Times New Roman"/>
          <w:lang w:val="en"/>
        </w:rPr>
        <w:t>he compan</w:t>
      </w:r>
      <w:r w:rsidR="00571259">
        <w:rPr>
          <w:rFonts w:ascii="Times New Roman" w:hAnsi="Times New Roman" w:cs="Times New Roman"/>
          <w:lang w:val="en"/>
        </w:rPr>
        <w:t>y actively communicates with leading</w:t>
      </w:r>
      <w:r w:rsidR="00571259" w:rsidRPr="00571259">
        <w:rPr>
          <w:rFonts w:ascii="Times New Roman" w:hAnsi="Times New Roman" w:cs="Times New Roman"/>
          <w:lang w:val="en"/>
        </w:rPr>
        <w:t xml:space="preserve"> customers</w:t>
      </w:r>
      <w:r w:rsidRPr="00C054CC">
        <w:rPr>
          <w:rFonts w:ascii="Times New Roman" w:hAnsi="Times New Roman" w:cs="Times New Roman"/>
          <w:lang w:val="en"/>
        </w:rPr>
        <w:t xml:space="preserve">, continuously advances the upgrading, iteration, and mass production onboarding of key products, and maintains customer stickiness. During the reporting period, the company's multiple innovative product series—featuring high capacity, long cycle life, and ultra-fast charging—have demonstrated leading performance and distinct advantages, and downstream customers have successively entered the pilot batch production stage, with expected volume release in the second half of the year. The equipment installation and commissioning for the first-phase silicon-carbon anode capacity of Anhui </w:t>
      </w:r>
      <w:proofErr w:type="spellStart"/>
      <w:r w:rsidRPr="00C054CC">
        <w:rPr>
          <w:rFonts w:ascii="Times New Roman" w:hAnsi="Times New Roman" w:cs="Times New Roman"/>
          <w:lang w:val="en"/>
        </w:rPr>
        <w:t>Zichen</w:t>
      </w:r>
      <w:proofErr w:type="spellEnd"/>
      <w:r w:rsidRPr="00C054CC">
        <w:rPr>
          <w:rFonts w:ascii="Times New Roman" w:hAnsi="Times New Roman" w:cs="Times New Roman"/>
          <w:lang w:val="en"/>
        </w:rPr>
        <w:t xml:space="preserve"> have been basically completed, and the production capacity is now available. It is expected to gradually achieve volume application in the consumer electronics and UAV (unmanned aerial vehicle) fields.</w:t>
      </w:r>
    </w:p>
    <w:p w:rsidR="00C054CC" w:rsidRPr="00703F37" w:rsidRDefault="00C054CC" w:rsidP="00C054CC">
      <w:pPr>
        <w:spacing w:line="276" w:lineRule="auto"/>
        <w:rPr>
          <w:rFonts w:ascii="Times New Roman" w:hAnsi="Times New Roman" w:cs="Times New Roman"/>
          <w:b/>
          <w:lang w:val="en"/>
        </w:rPr>
      </w:pPr>
      <w:r w:rsidRPr="00703F37">
        <w:rPr>
          <w:rFonts w:ascii="Times New Roman" w:hAnsi="Times New Roman" w:cs="Times New Roman"/>
          <w:b/>
          <w:lang w:val="en"/>
        </w:rPr>
        <w:t>(II) New Energy Automation Equipment and Services</w:t>
      </w:r>
    </w:p>
    <w:p w:rsidR="00C054CC" w:rsidRPr="00C054CC" w:rsidRDefault="00C054CC" w:rsidP="00C054CC">
      <w:pPr>
        <w:spacing w:line="276" w:lineRule="auto"/>
        <w:rPr>
          <w:rFonts w:ascii="Times New Roman" w:hAnsi="Times New Roman" w:cs="Times New Roman"/>
          <w:lang w:val="en"/>
        </w:rPr>
      </w:pPr>
      <w:r w:rsidRPr="00C054CC">
        <w:rPr>
          <w:rFonts w:ascii="Times New Roman" w:hAnsi="Times New Roman" w:cs="Times New Roman"/>
          <w:lang w:val="en"/>
        </w:rPr>
        <w:t xml:space="preserve">During the reporting period, the company's new energy automation equipment and services business </w:t>
      </w:r>
      <w:r w:rsidRPr="00C054CC">
        <w:rPr>
          <w:rFonts w:ascii="Times New Roman" w:hAnsi="Times New Roman" w:cs="Times New Roman"/>
          <w:lang w:val="en"/>
        </w:rPr>
        <w:lastRenderedPageBreak/>
        <w:t xml:space="preserve">achieved operating income of </w:t>
      </w:r>
      <w:r w:rsidR="00571259">
        <w:rPr>
          <w:rFonts w:ascii="Times New Roman" w:hAnsi="Times New Roman" w:cs="Times New Roman"/>
          <w:lang w:val="en"/>
        </w:rPr>
        <w:t xml:space="preserve">CNY </w:t>
      </w:r>
      <w:r w:rsidR="0052095D">
        <w:rPr>
          <w:rFonts w:ascii="Times New Roman" w:hAnsi="Times New Roman" w:cs="Times New Roman"/>
          <w:lang w:val="en"/>
        </w:rPr>
        <w:t>1.84</w:t>
      </w:r>
      <w:r w:rsidRPr="00C054CC">
        <w:rPr>
          <w:rFonts w:ascii="Times New Roman" w:hAnsi="Times New Roman" w:cs="Times New Roman"/>
          <w:lang w:val="en"/>
        </w:rPr>
        <w:t xml:space="preserve"> billion, representing a slight </w:t>
      </w:r>
      <w:proofErr w:type="spellStart"/>
      <w:r w:rsidRPr="00C054CC">
        <w:rPr>
          <w:rFonts w:ascii="Times New Roman" w:hAnsi="Times New Roman" w:cs="Times New Roman"/>
          <w:lang w:val="en"/>
        </w:rPr>
        <w:t>y</w:t>
      </w:r>
      <w:r w:rsidR="00571259">
        <w:rPr>
          <w:rFonts w:ascii="Times New Roman" w:hAnsi="Times New Roman" w:cs="Times New Roman"/>
          <w:lang w:val="en"/>
        </w:rPr>
        <w:t>oy</w:t>
      </w:r>
      <w:proofErr w:type="spellEnd"/>
      <w:r w:rsidRPr="00C054CC">
        <w:rPr>
          <w:rFonts w:ascii="Times New Roman" w:hAnsi="Times New Roman" w:cs="Times New Roman"/>
          <w:lang w:val="en"/>
        </w:rPr>
        <w:t xml:space="preserve"> increase. The specific business cond</w:t>
      </w:r>
      <w:r w:rsidR="00571259">
        <w:rPr>
          <w:rFonts w:ascii="Times New Roman" w:hAnsi="Times New Roman" w:cs="Times New Roman"/>
          <w:lang w:val="en"/>
        </w:rPr>
        <w:t>itions are as follows:</w:t>
      </w:r>
    </w:p>
    <w:p w:rsidR="00C054CC" w:rsidRPr="00C054CC" w:rsidRDefault="00C054CC" w:rsidP="00C054CC">
      <w:pPr>
        <w:spacing w:line="276" w:lineRule="auto"/>
        <w:rPr>
          <w:rFonts w:ascii="Times New Roman" w:hAnsi="Times New Roman" w:cs="Times New Roman"/>
          <w:lang w:val="en"/>
        </w:rPr>
      </w:pPr>
      <w:r w:rsidRPr="00C054CC">
        <w:rPr>
          <w:rFonts w:ascii="Times New Roman" w:hAnsi="Times New Roman" w:cs="Times New Roman"/>
          <w:lang w:val="en"/>
        </w:rPr>
        <w:t>Since 2025, the global power and energy storage battery market has witnessed strong demand. Domestic consumption subsidy policies have driven the growth of demand for consumer electronic products; coupled with overseas new players actively deploying local production capacity, a new round of demand for lithium battery equipment has been stimulated. In the first half of 2025, the new orders received by the company's equipment bu</w:t>
      </w:r>
      <w:r w:rsidR="00571259">
        <w:rPr>
          <w:rFonts w:ascii="Times New Roman" w:hAnsi="Times New Roman" w:cs="Times New Roman"/>
          <w:lang w:val="en"/>
        </w:rPr>
        <w:t>siness exceeded CNY 2.4 billion</w:t>
      </w:r>
      <w:r w:rsidR="00703F37">
        <w:rPr>
          <w:rFonts w:ascii="Times New Roman" w:hAnsi="Times New Roman" w:cs="Times New Roman"/>
          <w:lang w:val="en"/>
        </w:rPr>
        <w:t xml:space="preserve">, showing a significant </w:t>
      </w:r>
      <w:r w:rsidRPr="00C054CC">
        <w:rPr>
          <w:rFonts w:ascii="Times New Roman" w:hAnsi="Times New Roman" w:cs="Times New Roman"/>
          <w:lang w:val="en"/>
        </w:rPr>
        <w:t>rebound, which ensures the stable development of the company's annual business scale.</w:t>
      </w:r>
    </w:p>
    <w:p w:rsidR="00C054CC" w:rsidRPr="00C054CC" w:rsidRDefault="00C054CC" w:rsidP="00C054CC">
      <w:pPr>
        <w:spacing w:line="276" w:lineRule="auto"/>
        <w:rPr>
          <w:rFonts w:ascii="Times New Roman" w:hAnsi="Times New Roman" w:cs="Times New Roman"/>
          <w:lang w:val="en"/>
        </w:rPr>
      </w:pPr>
      <w:r w:rsidRPr="00C054CC">
        <w:rPr>
          <w:rFonts w:ascii="Times New Roman" w:hAnsi="Times New Roman" w:cs="Times New Roman"/>
          <w:lang w:val="en"/>
        </w:rPr>
        <w:t>During the reporting period, the company's pole piece coating machines continued to maintain a leading market share in China. The company has promoted cost-reduction and efficiency-enhancement work through various means, including optimized design, technological improvements, centralized material procurement, information construction, and refined management, and its profitability has remained relatively stable. Mid-to-late-stage equipment products—such as stackers, helium leak detectors, liquid injectors, formation and grading equipment, and coating machines—have achieved batch shipment and acceptance, enriching the company's revenue sources.</w:t>
      </w:r>
    </w:p>
    <w:p w:rsidR="00C054CC" w:rsidRPr="00C054CC" w:rsidRDefault="00C054CC" w:rsidP="00C054CC">
      <w:pPr>
        <w:spacing w:line="276" w:lineRule="auto"/>
        <w:rPr>
          <w:rFonts w:ascii="Times New Roman" w:hAnsi="Times New Roman" w:cs="Times New Roman"/>
          <w:lang w:val="en"/>
        </w:rPr>
      </w:pPr>
      <w:r w:rsidRPr="00C054CC">
        <w:rPr>
          <w:rFonts w:ascii="Times New Roman" w:hAnsi="Times New Roman" w:cs="Times New Roman"/>
          <w:lang w:val="en"/>
        </w:rPr>
        <w:t>The company has made significant breakthroughs in the development of cutting-edge innovative fields such as solid-state batteries and battery material equipment, and has secured incremental orders. The equipment types include production equipment for the solid-state batter</w:t>
      </w:r>
      <w:r w:rsidR="00703F37">
        <w:rPr>
          <w:rFonts w:ascii="Times New Roman" w:hAnsi="Times New Roman" w:cs="Times New Roman"/>
          <w:lang w:val="en"/>
        </w:rPr>
        <w:t xml:space="preserve">y field (such as mixers, coating machine, </w:t>
      </w:r>
      <w:proofErr w:type="spellStart"/>
      <w:r w:rsidR="00703F37">
        <w:rPr>
          <w:rFonts w:ascii="Times New Roman" w:hAnsi="Times New Roman" w:cs="Times New Roman"/>
          <w:lang w:val="en"/>
        </w:rPr>
        <w:t>calendering</w:t>
      </w:r>
      <w:proofErr w:type="spellEnd"/>
      <w:r w:rsidR="00703F37">
        <w:rPr>
          <w:rFonts w:ascii="Times New Roman" w:hAnsi="Times New Roman" w:cs="Times New Roman"/>
          <w:lang w:val="en"/>
        </w:rPr>
        <w:t xml:space="preserve"> machine</w:t>
      </w:r>
      <w:r w:rsidRPr="00C054CC">
        <w:rPr>
          <w:rFonts w:ascii="Times New Roman" w:hAnsi="Times New Roman" w:cs="Times New Roman"/>
          <w:lang w:val="en"/>
        </w:rPr>
        <w:t>, film formers, compound machines, and lithium metal anode forming equipment) as well as special equipment for the battery material field (such as wet-process separators, composite current collectors, and CVD-deposited silicon-carbon anodes). With the continuous fulfillment of incremental orders on hand, the company is constantly accumulating process experience in the field of cutting-edge equipment, laying a solid foundation for its long-term development.</w:t>
      </w:r>
    </w:p>
    <w:p w:rsidR="00C054CC" w:rsidRPr="00C054CC" w:rsidRDefault="00C054CC" w:rsidP="00C054CC">
      <w:pPr>
        <w:spacing w:line="276" w:lineRule="auto"/>
        <w:rPr>
          <w:rFonts w:ascii="Times New Roman" w:hAnsi="Times New Roman" w:cs="Times New Roman"/>
          <w:lang w:val="en"/>
        </w:rPr>
      </w:pPr>
      <w:r w:rsidRPr="00C054CC">
        <w:rPr>
          <w:rFonts w:ascii="Times New Roman" w:hAnsi="Times New Roman" w:cs="Times New Roman"/>
          <w:lang w:val="en"/>
        </w:rPr>
        <w:t xml:space="preserve">To further strengthen the long-term competitive advantages of the company's automation equipment business and expand financing </w:t>
      </w:r>
      <w:r w:rsidR="00703F37">
        <w:rPr>
          <w:rFonts w:ascii="Times New Roman" w:hAnsi="Times New Roman" w:cs="Times New Roman"/>
          <w:lang w:val="en"/>
        </w:rPr>
        <w:t>ways</w:t>
      </w:r>
      <w:r w:rsidRPr="00C054CC">
        <w:rPr>
          <w:rFonts w:ascii="Times New Roman" w:hAnsi="Times New Roman" w:cs="Times New Roman"/>
          <w:lang w:val="en"/>
        </w:rPr>
        <w:t xml:space="preserve">, during the reporting period, </w:t>
      </w:r>
      <w:proofErr w:type="spellStart"/>
      <w:r w:rsidR="00703F37">
        <w:rPr>
          <w:rFonts w:ascii="Times New Roman" w:hAnsi="Times New Roman" w:cs="Times New Roman"/>
          <w:lang w:val="en"/>
        </w:rPr>
        <w:t>Katop</w:t>
      </w:r>
      <w:proofErr w:type="spellEnd"/>
      <w:r w:rsidRPr="00C054CC">
        <w:rPr>
          <w:rFonts w:ascii="Times New Roman" w:hAnsi="Times New Roman" w:cs="Times New Roman"/>
          <w:lang w:val="en"/>
        </w:rPr>
        <w:t>—the company's automation equipment business platform—launched the process of listing on the National Equities Exchange and Quotations (NEEQ)</w:t>
      </w:r>
      <w:r w:rsidR="00703F37">
        <w:rPr>
          <w:rFonts w:ascii="Times New Roman" w:hAnsi="Times New Roman" w:cs="Times New Roman"/>
          <w:lang w:val="en"/>
        </w:rPr>
        <w:t>. The program</w:t>
      </w:r>
      <w:r w:rsidRPr="00C054CC">
        <w:rPr>
          <w:rFonts w:ascii="Times New Roman" w:hAnsi="Times New Roman" w:cs="Times New Roman"/>
          <w:lang w:val="en"/>
        </w:rPr>
        <w:t xml:space="preserve"> is progressing smoothly.</w:t>
      </w:r>
    </w:p>
    <w:p w:rsidR="00C054CC" w:rsidRPr="00572DAC" w:rsidRDefault="00C054CC" w:rsidP="00C054CC">
      <w:pPr>
        <w:spacing w:line="276" w:lineRule="auto"/>
        <w:rPr>
          <w:rFonts w:ascii="Times New Roman" w:hAnsi="Times New Roman" w:cs="Times New Roman"/>
          <w:b/>
          <w:lang w:val="en"/>
        </w:rPr>
      </w:pPr>
      <w:r w:rsidRPr="00572DAC">
        <w:rPr>
          <w:rFonts w:ascii="Times New Roman" w:hAnsi="Times New Roman" w:cs="Times New Roman"/>
          <w:b/>
          <w:lang w:val="en"/>
        </w:rPr>
        <w:t>(III) Coating Processing Service (CAAS)</w:t>
      </w:r>
    </w:p>
    <w:p w:rsidR="00C054CC" w:rsidRPr="00D1230F" w:rsidRDefault="00C054CC" w:rsidP="00C054CC">
      <w:pPr>
        <w:spacing w:line="276" w:lineRule="auto"/>
        <w:rPr>
          <w:rFonts w:ascii="Times New Roman" w:hAnsi="Times New Roman" w:cs="Times New Roman"/>
          <w:lang w:val="en"/>
        </w:rPr>
      </w:pPr>
      <w:r w:rsidRPr="00C054CC">
        <w:rPr>
          <w:rFonts w:ascii="Times New Roman" w:hAnsi="Times New Roman" w:cs="Times New Roman"/>
          <w:lang w:val="en"/>
        </w:rPr>
        <w:t xml:space="preserve">In the first half of 2025, the company officially established the Pole Piece Business Unit. Relying on its platform-based layout of "materials + equipment", </w:t>
      </w:r>
      <w:r w:rsidR="00703F37">
        <w:rPr>
          <w:rFonts w:ascii="Times New Roman" w:hAnsi="Times New Roman" w:cs="Times New Roman"/>
          <w:lang w:val="en"/>
        </w:rPr>
        <w:t>PTL</w:t>
      </w:r>
      <w:r w:rsidRPr="00C054CC">
        <w:rPr>
          <w:rFonts w:ascii="Times New Roman" w:hAnsi="Times New Roman" w:cs="Times New Roman"/>
          <w:lang w:val="en"/>
        </w:rPr>
        <w:t xml:space="preserve"> provides pole piece toll processing services for domestic and overseas battery manufacturers, automobile companies, and energy storage customers, and actively explores the "full-roll" delivery model. At present, the company's pole piece production lines can be matched with various types of batteries; the company is actively developing pole piece processing solutions that meet customer needs together with downstream battery customers, and has launched preliminary R&amp;D cooperation with overseas customers, with expected gradual volume growth in the second half of the year. In the future, the company will actively expand markets and customers, continuously improve manufacturing yield and efficiency, </w:t>
      </w:r>
      <w:r w:rsidRPr="00C054CC">
        <w:rPr>
          <w:rFonts w:ascii="Times New Roman" w:hAnsi="Times New Roman" w:cs="Times New Roman"/>
          <w:lang w:val="en"/>
        </w:rPr>
        <w:lastRenderedPageBreak/>
        <w:t>further advance cost reduction and efficiency enhancement, constantly strengthen its integrated service capabilities and competitive advantages, and actively create value for customers.</w:t>
      </w:r>
    </w:p>
    <w:p w:rsidR="009C052E" w:rsidRPr="00FA5209" w:rsidRDefault="00FF7444">
      <w:pPr>
        <w:keepNext/>
        <w:keepLines/>
        <w:numPr>
          <w:ilvl w:val="1"/>
          <w:numId w:val="1"/>
        </w:numPr>
        <w:spacing w:before="60" w:after="60"/>
        <w:ind w:left="498" w:hangingChars="236" w:hanging="498"/>
        <w:outlineLvl w:val="1"/>
        <w:rPr>
          <w:rFonts w:ascii="Times New Roman" w:eastAsia="宋体" w:hAnsi="Times New Roman" w:cs="Times New Roman"/>
          <w:b/>
          <w:bCs/>
          <w:szCs w:val="21"/>
          <w:lang w:val="en"/>
        </w:rPr>
      </w:pPr>
      <w:r w:rsidRPr="00FA5209">
        <w:rPr>
          <w:rFonts w:ascii="Times New Roman" w:eastAsia="宋体" w:hAnsi="Times New Roman" w:cs="Times New Roman"/>
          <w:b/>
          <w:bCs/>
          <w:szCs w:val="21"/>
          <w:lang w:val="en"/>
        </w:rPr>
        <w:t>Shareholdings of the Top Ten Shareholders</w:t>
      </w:r>
    </w:p>
    <w:tbl>
      <w:tblPr>
        <w:tblStyle w:val="g1"/>
        <w:tblW w:w="93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gridCol w:w="1656"/>
        <w:gridCol w:w="1559"/>
        <w:gridCol w:w="1134"/>
        <w:gridCol w:w="993"/>
        <w:gridCol w:w="850"/>
        <w:gridCol w:w="1276"/>
      </w:tblGrid>
      <w:tr w:rsidR="009C052E" w:rsidRPr="00FA5209" w:rsidTr="00703F37">
        <w:trPr>
          <w:cantSplit/>
          <w:trHeight w:val="305"/>
        </w:trPr>
        <w:tc>
          <w:tcPr>
            <w:tcW w:w="9385" w:type="dxa"/>
            <w:gridSpan w:val="7"/>
            <w:shd w:val="clear" w:color="auto" w:fill="auto"/>
            <w:vAlign w:val="center"/>
          </w:tcPr>
          <w:p w:rsidR="009C052E" w:rsidRPr="00FA5209" w:rsidRDefault="00FF7444">
            <w:pPr>
              <w:jc w:val="center"/>
              <w:rPr>
                <w:rFonts w:ascii="Times New Roman" w:hAnsi="Times New Roman"/>
                <w:szCs w:val="21"/>
              </w:rPr>
            </w:pPr>
            <w:r w:rsidRPr="00FA5209">
              <w:rPr>
                <w:rFonts w:ascii="Times New Roman" w:hAnsi="Times New Roman"/>
                <w:szCs w:val="21"/>
              </w:rPr>
              <w:t>Shareholdings of the top ten shareholders</w:t>
            </w:r>
          </w:p>
        </w:tc>
      </w:tr>
      <w:tr w:rsidR="009C052E" w:rsidRPr="00FA5209" w:rsidTr="00703F37">
        <w:trPr>
          <w:cantSplit/>
          <w:trHeight w:val="305"/>
        </w:trPr>
        <w:tc>
          <w:tcPr>
            <w:tcW w:w="1917" w:type="dxa"/>
            <w:vMerge w:val="restart"/>
            <w:shd w:val="clear" w:color="auto" w:fill="auto"/>
            <w:vAlign w:val="center"/>
          </w:tcPr>
          <w:p w:rsidR="009C052E" w:rsidRPr="00FA5209" w:rsidRDefault="00FF7444">
            <w:pPr>
              <w:jc w:val="center"/>
              <w:rPr>
                <w:rFonts w:ascii="Times New Roman" w:hAnsi="Times New Roman"/>
                <w:szCs w:val="21"/>
              </w:rPr>
            </w:pPr>
            <w:r w:rsidRPr="00FA5209">
              <w:rPr>
                <w:rFonts w:ascii="Times New Roman" w:hAnsi="Times New Roman"/>
                <w:szCs w:val="21"/>
              </w:rPr>
              <w:t>Shareholder name</w:t>
            </w:r>
          </w:p>
          <w:p w:rsidR="009C052E" w:rsidRPr="00FA5209" w:rsidRDefault="00FF7444">
            <w:pPr>
              <w:jc w:val="center"/>
              <w:rPr>
                <w:rFonts w:ascii="Times New Roman" w:hAnsi="Times New Roman"/>
                <w:szCs w:val="21"/>
              </w:rPr>
            </w:pPr>
            <w:r w:rsidRPr="00FA5209">
              <w:rPr>
                <w:rFonts w:ascii="Times New Roman" w:hAnsi="Times New Roman"/>
                <w:szCs w:val="21"/>
              </w:rPr>
              <w:t>(full name)</w:t>
            </w:r>
          </w:p>
        </w:tc>
        <w:tc>
          <w:tcPr>
            <w:tcW w:w="1656" w:type="dxa"/>
            <w:vMerge w:val="restart"/>
            <w:shd w:val="clear" w:color="auto" w:fill="auto"/>
            <w:vAlign w:val="center"/>
          </w:tcPr>
          <w:p w:rsidR="009C052E" w:rsidRPr="00FA5209" w:rsidRDefault="00FF7444">
            <w:pPr>
              <w:kinsoku w:val="0"/>
              <w:overflowPunct w:val="0"/>
              <w:autoSpaceDE w:val="0"/>
              <w:autoSpaceDN w:val="0"/>
              <w:adjustRightInd w:val="0"/>
              <w:snapToGrid w:val="0"/>
              <w:jc w:val="center"/>
              <w:rPr>
                <w:rFonts w:ascii="Times New Roman" w:hAnsi="Times New Roman"/>
                <w:szCs w:val="21"/>
              </w:rPr>
            </w:pPr>
            <w:r w:rsidRPr="00FA5209">
              <w:rPr>
                <w:rFonts w:ascii="Times New Roman" w:hAnsi="Times New Roman"/>
                <w:szCs w:val="21"/>
              </w:rPr>
              <w:t>Increase or decrease during the reporting period</w:t>
            </w:r>
          </w:p>
        </w:tc>
        <w:tc>
          <w:tcPr>
            <w:tcW w:w="1559" w:type="dxa"/>
            <w:vMerge w:val="restart"/>
            <w:shd w:val="clear" w:color="auto" w:fill="auto"/>
            <w:vAlign w:val="center"/>
          </w:tcPr>
          <w:p w:rsidR="009C052E" w:rsidRPr="00FA5209" w:rsidRDefault="00FF7444">
            <w:pPr>
              <w:kinsoku w:val="0"/>
              <w:wordWrap w:val="0"/>
              <w:overflowPunct w:val="0"/>
              <w:autoSpaceDE w:val="0"/>
              <w:autoSpaceDN w:val="0"/>
              <w:adjustRightInd w:val="0"/>
              <w:snapToGrid w:val="0"/>
              <w:jc w:val="center"/>
              <w:rPr>
                <w:rFonts w:ascii="Times New Roman" w:hAnsi="Times New Roman"/>
                <w:szCs w:val="21"/>
              </w:rPr>
            </w:pPr>
            <w:r w:rsidRPr="00FA5209">
              <w:rPr>
                <w:rFonts w:ascii="Times New Roman" w:hAnsi="Times New Roman"/>
                <w:szCs w:val="21"/>
              </w:rPr>
              <w:t>Number of shares held at the end of the period</w:t>
            </w:r>
          </w:p>
        </w:tc>
        <w:tc>
          <w:tcPr>
            <w:tcW w:w="1134" w:type="dxa"/>
            <w:vMerge w:val="restart"/>
            <w:shd w:val="clear" w:color="auto" w:fill="auto"/>
            <w:vAlign w:val="center"/>
          </w:tcPr>
          <w:p w:rsidR="009C052E" w:rsidRPr="00FA5209" w:rsidRDefault="00FF7444">
            <w:pPr>
              <w:kinsoku w:val="0"/>
              <w:wordWrap w:val="0"/>
              <w:overflowPunct w:val="0"/>
              <w:autoSpaceDE w:val="0"/>
              <w:autoSpaceDN w:val="0"/>
              <w:adjustRightInd w:val="0"/>
              <w:snapToGrid w:val="0"/>
              <w:jc w:val="center"/>
              <w:rPr>
                <w:rFonts w:ascii="Times New Roman" w:hAnsi="Times New Roman"/>
                <w:szCs w:val="21"/>
              </w:rPr>
            </w:pPr>
            <w:r w:rsidRPr="00FA5209">
              <w:rPr>
                <w:rFonts w:ascii="Times New Roman" w:hAnsi="Times New Roman"/>
                <w:szCs w:val="21"/>
              </w:rPr>
              <w:t>Proportion(%)</w:t>
            </w:r>
          </w:p>
        </w:tc>
        <w:tc>
          <w:tcPr>
            <w:tcW w:w="993" w:type="dxa"/>
            <w:vMerge w:val="restart"/>
            <w:shd w:val="clear" w:color="auto" w:fill="auto"/>
            <w:vAlign w:val="center"/>
          </w:tcPr>
          <w:p w:rsidR="009C052E" w:rsidRPr="00FA5209" w:rsidRDefault="00FF7444">
            <w:pPr>
              <w:kinsoku w:val="0"/>
              <w:wordWrap w:val="0"/>
              <w:overflowPunct w:val="0"/>
              <w:autoSpaceDE w:val="0"/>
              <w:autoSpaceDN w:val="0"/>
              <w:adjustRightInd w:val="0"/>
              <w:snapToGrid w:val="0"/>
              <w:jc w:val="center"/>
              <w:rPr>
                <w:rFonts w:ascii="Times New Roman" w:hAnsi="Times New Roman"/>
                <w:bCs/>
                <w:szCs w:val="21"/>
              </w:rPr>
            </w:pPr>
            <w:r w:rsidRPr="00FA5209">
              <w:rPr>
                <w:rFonts w:ascii="Times New Roman" w:hAnsi="Times New Roman"/>
                <w:bCs/>
                <w:szCs w:val="21"/>
              </w:rPr>
              <w:t>Number of shares held with restrictions on sales</w:t>
            </w:r>
          </w:p>
        </w:tc>
        <w:tc>
          <w:tcPr>
            <w:tcW w:w="2126" w:type="dxa"/>
            <w:gridSpan w:val="2"/>
            <w:shd w:val="clear" w:color="auto" w:fill="auto"/>
            <w:vAlign w:val="center"/>
          </w:tcPr>
          <w:p w:rsidR="009C052E" w:rsidRPr="00FA5209" w:rsidRDefault="00FF7444">
            <w:pPr>
              <w:jc w:val="center"/>
              <w:rPr>
                <w:rFonts w:ascii="Times New Roman" w:hAnsi="Times New Roman"/>
                <w:szCs w:val="21"/>
              </w:rPr>
            </w:pPr>
            <w:r w:rsidRPr="00FA5209">
              <w:rPr>
                <w:rFonts w:ascii="Times New Roman" w:hAnsi="Times New Roman"/>
              </w:rPr>
              <w:t xml:space="preserve">Shares in </w:t>
            </w:r>
            <w:r w:rsidRPr="00FA5209">
              <w:rPr>
                <w:rFonts w:ascii="Times New Roman" w:hAnsi="Times New Roman"/>
                <w:szCs w:val="21"/>
              </w:rPr>
              <w:t>pledge, mark</w:t>
            </w:r>
            <w:r w:rsidRPr="00FA5209">
              <w:rPr>
                <w:rFonts w:ascii="Times New Roman" w:hAnsi="Times New Roman" w:hint="eastAsia"/>
                <w:szCs w:val="21"/>
              </w:rPr>
              <w:t>ed</w:t>
            </w:r>
            <w:r w:rsidRPr="00FA5209">
              <w:rPr>
                <w:rFonts w:ascii="Times New Roman" w:hAnsi="Times New Roman"/>
                <w:szCs w:val="21"/>
              </w:rPr>
              <w:t xml:space="preserve"> or frozen</w:t>
            </w:r>
          </w:p>
        </w:tc>
      </w:tr>
      <w:tr w:rsidR="009C052E" w:rsidRPr="00FA5209" w:rsidTr="00703F37">
        <w:trPr>
          <w:cantSplit/>
          <w:trHeight w:val="305"/>
        </w:trPr>
        <w:tc>
          <w:tcPr>
            <w:tcW w:w="1917" w:type="dxa"/>
            <w:vMerge/>
            <w:tcBorders>
              <w:bottom w:val="single" w:sz="4" w:space="0" w:color="auto"/>
            </w:tcBorders>
            <w:shd w:val="clear" w:color="auto" w:fill="auto"/>
            <w:vAlign w:val="center"/>
          </w:tcPr>
          <w:p w:rsidR="009C052E" w:rsidRPr="00FA5209" w:rsidRDefault="009C052E">
            <w:pPr>
              <w:jc w:val="center"/>
              <w:rPr>
                <w:rFonts w:ascii="Times New Roman" w:hAnsi="Times New Roman"/>
                <w:szCs w:val="21"/>
              </w:rPr>
            </w:pPr>
          </w:p>
        </w:tc>
        <w:tc>
          <w:tcPr>
            <w:tcW w:w="1656" w:type="dxa"/>
            <w:vMerge/>
            <w:tcBorders>
              <w:bottom w:val="single" w:sz="4" w:space="0" w:color="auto"/>
            </w:tcBorders>
            <w:shd w:val="clear" w:color="auto" w:fill="auto"/>
            <w:vAlign w:val="center"/>
          </w:tcPr>
          <w:p w:rsidR="009C052E" w:rsidRPr="00FA5209" w:rsidRDefault="009C052E">
            <w:pPr>
              <w:jc w:val="center"/>
              <w:rPr>
                <w:rFonts w:ascii="Times New Roman" w:hAnsi="Times New Roman"/>
                <w:szCs w:val="21"/>
              </w:rPr>
            </w:pPr>
          </w:p>
        </w:tc>
        <w:tc>
          <w:tcPr>
            <w:tcW w:w="1559" w:type="dxa"/>
            <w:vMerge/>
            <w:tcBorders>
              <w:bottom w:val="single" w:sz="4" w:space="0" w:color="auto"/>
            </w:tcBorders>
            <w:shd w:val="clear" w:color="auto" w:fill="auto"/>
            <w:vAlign w:val="center"/>
          </w:tcPr>
          <w:p w:rsidR="009C052E" w:rsidRPr="00FA5209" w:rsidRDefault="009C052E">
            <w:pPr>
              <w:jc w:val="center"/>
              <w:rPr>
                <w:rFonts w:ascii="Times New Roman" w:hAnsi="Times New Roman"/>
                <w:szCs w:val="21"/>
              </w:rPr>
            </w:pPr>
          </w:p>
        </w:tc>
        <w:tc>
          <w:tcPr>
            <w:tcW w:w="1134" w:type="dxa"/>
            <w:vMerge/>
            <w:tcBorders>
              <w:bottom w:val="single" w:sz="4" w:space="0" w:color="auto"/>
            </w:tcBorders>
            <w:shd w:val="clear" w:color="auto" w:fill="auto"/>
            <w:vAlign w:val="center"/>
          </w:tcPr>
          <w:p w:rsidR="009C052E" w:rsidRPr="00FA5209" w:rsidRDefault="009C052E">
            <w:pPr>
              <w:jc w:val="center"/>
              <w:rPr>
                <w:rFonts w:ascii="Times New Roman" w:hAnsi="Times New Roman"/>
                <w:szCs w:val="21"/>
              </w:rPr>
            </w:pPr>
          </w:p>
        </w:tc>
        <w:tc>
          <w:tcPr>
            <w:tcW w:w="993" w:type="dxa"/>
            <w:vMerge/>
            <w:tcBorders>
              <w:bottom w:val="single" w:sz="4" w:space="0" w:color="auto"/>
            </w:tcBorders>
            <w:shd w:val="clear" w:color="auto" w:fill="auto"/>
            <w:vAlign w:val="center"/>
          </w:tcPr>
          <w:p w:rsidR="009C052E" w:rsidRPr="00FA5209" w:rsidRDefault="009C052E">
            <w:pPr>
              <w:jc w:val="center"/>
              <w:rPr>
                <w:rFonts w:ascii="Times New Roman" w:hAnsi="Times New Roman"/>
                <w:szCs w:val="21"/>
              </w:rPr>
            </w:pPr>
          </w:p>
        </w:tc>
        <w:tc>
          <w:tcPr>
            <w:tcW w:w="850" w:type="dxa"/>
            <w:tcBorders>
              <w:bottom w:val="single" w:sz="4" w:space="0" w:color="auto"/>
            </w:tcBorders>
            <w:shd w:val="clear" w:color="auto" w:fill="auto"/>
            <w:vAlign w:val="center"/>
          </w:tcPr>
          <w:p w:rsidR="009C052E" w:rsidRPr="00FA5209" w:rsidRDefault="00FF7444">
            <w:pPr>
              <w:jc w:val="center"/>
              <w:rPr>
                <w:rFonts w:ascii="Times New Roman" w:hAnsi="Times New Roman"/>
                <w:szCs w:val="21"/>
              </w:rPr>
            </w:pPr>
            <w:r w:rsidRPr="00FA5209">
              <w:rPr>
                <w:rFonts w:ascii="Times New Roman" w:hAnsi="Times New Roman"/>
                <w:szCs w:val="21"/>
              </w:rPr>
              <w:t>Share Status</w:t>
            </w:r>
          </w:p>
        </w:tc>
        <w:tc>
          <w:tcPr>
            <w:tcW w:w="1276" w:type="dxa"/>
            <w:tcBorders>
              <w:bottom w:val="single" w:sz="4" w:space="0" w:color="auto"/>
            </w:tcBorders>
            <w:shd w:val="clear" w:color="auto" w:fill="auto"/>
            <w:vAlign w:val="center"/>
          </w:tcPr>
          <w:p w:rsidR="009C052E" w:rsidRPr="00FA5209" w:rsidRDefault="00FF7444">
            <w:pPr>
              <w:jc w:val="center"/>
              <w:rPr>
                <w:rFonts w:ascii="Times New Roman" w:hAnsi="Times New Roman"/>
                <w:szCs w:val="21"/>
              </w:rPr>
            </w:pPr>
            <w:r w:rsidRPr="00FA5209">
              <w:rPr>
                <w:rFonts w:ascii="Times New Roman" w:hAnsi="Times New Roman"/>
                <w:szCs w:val="21"/>
              </w:rPr>
              <w:t>Quantity</w:t>
            </w:r>
          </w:p>
        </w:tc>
      </w:tr>
      <w:tr w:rsidR="00A7357F" w:rsidRPr="00FA5209" w:rsidTr="00703F37">
        <w:trPr>
          <w:cantSplit/>
          <w:trHeight w:val="305"/>
        </w:trPr>
        <w:tc>
          <w:tcPr>
            <w:tcW w:w="1917" w:type="dxa"/>
            <w:shd w:val="clear" w:color="auto" w:fill="auto"/>
            <w:vAlign w:val="center"/>
          </w:tcPr>
          <w:p w:rsidR="00A7357F" w:rsidRPr="00FA5209" w:rsidRDefault="00A7357F" w:rsidP="00A7357F">
            <w:pPr>
              <w:rPr>
                <w:rFonts w:ascii="Times New Roman" w:hAnsi="Times New Roman"/>
                <w:szCs w:val="21"/>
              </w:rPr>
            </w:pPr>
            <w:r w:rsidRPr="00FA5209">
              <w:rPr>
                <w:rFonts w:ascii="Times New Roman" w:hAnsi="Times New Roman"/>
                <w:szCs w:val="21"/>
              </w:rPr>
              <w:t>Liang Feng</w:t>
            </w:r>
          </w:p>
        </w:tc>
        <w:tc>
          <w:tcPr>
            <w:tcW w:w="1656" w:type="dxa"/>
            <w:shd w:val="clear" w:color="auto" w:fill="auto"/>
            <w:vAlign w:val="center"/>
          </w:tcPr>
          <w:p w:rsidR="00A7357F" w:rsidRPr="00703F37" w:rsidRDefault="00A7357F" w:rsidP="00A7357F">
            <w:pPr>
              <w:jc w:val="right"/>
              <w:rPr>
                <w:rFonts w:ascii="Times New Roman" w:eastAsiaTheme="majorEastAsia" w:hAnsi="Times New Roman"/>
              </w:rPr>
            </w:pPr>
            <w:r w:rsidRPr="00703F37">
              <w:rPr>
                <w:rFonts w:ascii="Times New Roman" w:eastAsiaTheme="majorEastAsia" w:hAnsi="Times New Roman"/>
              </w:rPr>
              <w:t>0</w:t>
            </w:r>
          </w:p>
        </w:tc>
        <w:tc>
          <w:tcPr>
            <w:tcW w:w="1559" w:type="dxa"/>
            <w:shd w:val="clear" w:color="auto" w:fill="auto"/>
            <w:vAlign w:val="center"/>
          </w:tcPr>
          <w:p w:rsidR="00A7357F" w:rsidRPr="00703F37" w:rsidRDefault="00A7357F" w:rsidP="00A7357F">
            <w:pPr>
              <w:jc w:val="right"/>
              <w:rPr>
                <w:rFonts w:ascii="Times New Roman" w:eastAsiaTheme="majorEastAsia" w:hAnsi="Times New Roman"/>
              </w:rPr>
            </w:pPr>
            <w:r w:rsidRPr="00703F37">
              <w:rPr>
                <w:rFonts w:ascii="Times New Roman" w:eastAsiaTheme="majorEastAsia" w:hAnsi="Times New Roman"/>
              </w:rPr>
              <w:t>531,510,881</w:t>
            </w:r>
          </w:p>
        </w:tc>
        <w:tc>
          <w:tcPr>
            <w:tcW w:w="1134" w:type="dxa"/>
            <w:shd w:val="clear" w:color="auto" w:fill="auto"/>
            <w:vAlign w:val="center"/>
          </w:tcPr>
          <w:p w:rsidR="00A7357F" w:rsidRPr="00703F37" w:rsidRDefault="00A7357F" w:rsidP="00A7357F">
            <w:pPr>
              <w:jc w:val="right"/>
              <w:rPr>
                <w:rFonts w:ascii="Times New Roman" w:eastAsiaTheme="majorEastAsia" w:hAnsi="Times New Roman"/>
              </w:rPr>
            </w:pPr>
            <w:r w:rsidRPr="00703F37">
              <w:rPr>
                <w:rFonts w:ascii="Times New Roman" w:eastAsiaTheme="majorEastAsia" w:hAnsi="Times New Roman"/>
              </w:rPr>
              <w:t>24.87</w:t>
            </w:r>
          </w:p>
        </w:tc>
        <w:tc>
          <w:tcPr>
            <w:tcW w:w="993" w:type="dxa"/>
            <w:shd w:val="clear" w:color="auto" w:fill="auto"/>
            <w:vAlign w:val="center"/>
          </w:tcPr>
          <w:p w:rsidR="00A7357F" w:rsidRPr="00FA5209" w:rsidRDefault="00A7357F" w:rsidP="00A7357F">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A7357F" w:rsidRPr="00FA5209" w:rsidRDefault="00A7357F" w:rsidP="00A7357F">
            <w:pPr>
              <w:jc w:val="center"/>
              <w:rPr>
                <w:rFonts w:ascii="Times New Roman" w:eastAsiaTheme="majorEastAsia" w:hAnsi="Times New Roman"/>
              </w:rPr>
            </w:pPr>
            <w:r w:rsidRPr="00FA5209">
              <w:rPr>
                <w:rFonts w:ascii="Times New Roman" w:eastAsiaTheme="majorEastAsia" w:hAnsi="Times New Roman"/>
              </w:rPr>
              <w:t xml:space="preserve">In </w:t>
            </w:r>
            <w:r w:rsidRPr="00FA5209">
              <w:rPr>
                <w:rFonts w:ascii="Times New Roman" w:eastAsiaTheme="majorEastAsia" w:hAnsi="Times New Roman" w:hint="eastAsia"/>
              </w:rPr>
              <w:t>pledge</w:t>
            </w:r>
          </w:p>
        </w:tc>
        <w:tc>
          <w:tcPr>
            <w:tcW w:w="1276" w:type="dxa"/>
            <w:shd w:val="clear" w:color="auto" w:fill="auto"/>
            <w:vAlign w:val="center"/>
          </w:tcPr>
          <w:p w:rsidR="00A7357F" w:rsidRPr="00A7357F" w:rsidRDefault="00A7357F" w:rsidP="00A7357F">
            <w:pPr>
              <w:jc w:val="right"/>
              <w:rPr>
                <w:rFonts w:ascii="Times New Roman" w:eastAsiaTheme="majorEastAsia" w:hAnsi="Times New Roman"/>
              </w:rPr>
            </w:pPr>
            <w:r w:rsidRPr="00A7357F">
              <w:rPr>
                <w:rFonts w:ascii="Times New Roman" w:eastAsiaTheme="majorEastAsia" w:hAnsi="Times New Roman"/>
              </w:rPr>
              <w:t>315,800,000</w:t>
            </w:r>
          </w:p>
        </w:tc>
      </w:tr>
      <w:tr w:rsidR="00A7357F" w:rsidRPr="00FA5209" w:rsidTr="00703F37">
        <w:trPr>
          <w:cantSplit/>
          <w:trHeight w:val="916"/>
        </w:trPr>
        <w:tc>
          <w:tcPr>
            <w:tcW w:w="1917" w:type="dxa"/>
            <w:shd w:val="clear" w:color="auto" w:fill="auto"/>
            <w:vAlign w:val="center"/>
          </w:tcPr>
          <w:p w:rsidR="00A7357F" w:rsidRPr="00FA5209" w:rsidRDefault="00A7357F" w:rsidP="00A7357F">
            <w:pPr>
              <w:kinsoku w:val="0"/>
              <w:wordWrap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 xml:space="preserve">Ningbo </w:t>
            </w:r>
            <w:proofErr w:type="spellStart"/>
            <w:r w:rsidRPr="00FA5209">
              <w:rPr>
                <w:rFonts w:ascii="Times New Roman" w:hAnsi="Times New Roman"/>
                <w:szCs w:val="21"/>
              </w:rPr>
              <w:t>Shengyue</w:t>
            </w:r>
            <w:proofErr w:type="spellEnd"/>
            <w:r w:rsidRPr="00FA5209">
              <w:rPr>
                <w:rFonts w:ascii="Times New Roman" w:hAnsi="Times New Roman"/>
                <w:szCs w:val="21"/>
              </w:rPr>
              <w:t xml:space="preserve"> Venture Capital Partnership (Limited Partnership)</w:t>
            </w:r>
          </w:p>
        </w:tc>
        <w:tc>
          <w:tcPr>
            <w:tcW w:w="1656" w:type="dxa"/>
            <w:shd w:val="clear" w:color="auto" w:fill="auto"/>
            <w:vAlign w:val="center"/>
          </w:tcPr>
          <w:p w:rsidR="00A7357F" w:rsidRPr="00703F37" w:rsidRDefault="00A7357F" w:rsidP="00A7357F">
            <w:pPr>
              <w:jc w:val="right"/>
              <w:rPr>
                <w:rFonts w:ascii="Times New Roman" w:eastAsiaTheme="majorEastAsia" w:hAnsi="Times New Roman"/>
              </w:rPr>
            </w:pPr>
            <w:r w:rsidRPr="00703F37">
              <w:rPr>
                <w:rFonts w:ascii="Times New Roman" w:eastAsiaTheme="majorEastAsia" w:hAnsi="Times New Roman"/>
              </w:rPr>
              <w:t>0</w:t>
            </w:r>
          </w:p>
        </w:tc>
        <w:tc>
          <w:tcPr>
            <w:tcW w:w="1559" w:type="dxa"/>
            <w:shd w:val="clear" w:color="auto" w:fill="auto"/>
            <w:vAlign w:val="center"/>
          </w:tcPr>
          <w:p w:rsidR="00A7357F" w:rsidRPr="00703F37" w:rsidRDefault="00A7357F" w:rsidP="00A7357F">
            <w:pPr>
              <w:jc w:val="right"/>
              <w:rPr>
                <w:rFonts w:ascii="Times New Roman" w:eastAsiaTheme="majorEastAsia" w:hAnsi="Times New Roman"/>
              </w:rPr>
            </w:pPr>
            <w:r w:rsidRPr="00703F37">
              <w:rPr>
                <w:rFonts w:ascii="Times New Roman" w:eastAsiaTheme="majorEastAsia" w:hAnsi="Times New Roman"/>
              </w:rPr>
              <w:t>230,261,325</w:t>
            </w:r>
          </w:p>
        </w:tc>
        <w:tc>
          <w:tcPr>
            <w:tcW w:w="1134" w:type="dxa"/>
            <w:shd w:val="clear" w:color="auto" w:fill="auto"/>
            <w:vAlign w:val="center"/>
          </w:tcPr>
          <w:p w:rsidR="00A7357F" w:rsidRPr="00703F37" w:rsidRDefault="00A7357F" w:rsidP="00A7357F">
            <w:pPr>
              <w:jc w:val="right"/>
              <w:rPr>
                <w:rFonts w:ascii="Times New Roman" w:eastAsiaTheme="majorEastAsia" w:hAnsi="Times New Roman"/>
              </w:rPr>
            </w:pPr>
            <w:r w:rsidRPr="00703F37">
              <w:rPr>
                <w:rFonts w:ascii="Times New Roman" w:eastAsiaTheme="majorEastAsia" w:hAnsi="Times New Roman"/>
              </w:rPr>
              <w:t>10.77</w:t>
            </w:r>
          </w:p>
        </w:tc>
        <w:tc>
          <w:tcPr>
            <w:tcW w:w="993" w:type="dxa"/>
            <w:shd w:val="clear" w:color="auto" w:fill="auto"/>
            <w:vAlign w:val="center"/>
          </w:tcPr>
          <w:p w:rsidR="00A7357F" w:rsidRPr="00FA5209" w:rsidRDefault="00A7357F" w:rsidP="00A7357F">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A7357F" w:rsidRPr="00FA5209" w:rsidRDefault="00A7357F" w:rsidP="00A7357F">
            <w:pPr>
              <w:jc w:val="center"/>
              <w:rPr>
                <w:rFonts w:ascii="Times New Roman" w:eastAsiaTheme="majorEastAsia" w:hAnsi="Times New Roman"/>
              </w:rPr>
            </w:pPr>
            <w:r w:rsidRPr="00FA5209">
              <w:rPr>
                <w:rFonts w:ascii="Times New Roman" w:eastAsiaTheme="majorEastAsia" w:hAnsi="Times New Roman"/>
              </w:rPr>
              <w:t xml:space="preserve">In </w:t>
            </w:r>
            <w:r w:rsidRPr="00FA5209">
              <w:rPr>
                <w:rFonts w:ascii="Times New Roman" w:eastAsiaTheme="majorEastAsia" w:hAnsi="Times New Roman" w:hint="eastAsia"/>
              </w:rPr>
              <w:t>pledge</w:t>
            </w:r>
          </w:p>
        </w:tc>
        <w:tc>
          <w:tcPr>
            <w:tcW w:w="1276" w:type="dxa"/>
            <w:shd w:val="clear" w:color="auto" w:fill="auto"/>
            <w:vAlign w:val="center"/>
          </w:tcPr>
          <w:p w:rsidR="00A7357F" w:rsidRPr="00A7357F" w:rsidRDefault="00A7357F" w:rsidP="00A7357F">
            <w:pPr>
              <w:jc w:val="right"/>
              <w:rPr>
                <w:rFonts w:ascii="Times New Roman" w:eastAsiaTheme="majorEastAsia" w:hAnsi="Times New Roman"/>
              </w:rPr>
            </w:pPr>
            <w:r w:rsidRPr="00A7357F">
              <w:rPr>
                <w:rFonts w:ascii="Times New Roman" w:eastAsiaTheme="majorEastAsia" w:hAnsi="Times New Roman"/>
              </w:rPr>
              <w:t>93,000,000</w:t>
            </w:r>
          </w:p>
        </w:tc>
      </w:tr>
      <w:tr w:rsidR="00703F37" w:rsidRPr="00FA5209" w:rsidTr="00703F37">
        <w:trPr>
          <w:cantSplit/>
          <w:trHeight w:val="928"/>
        </w:trPr>
        <w:tc>
          <w:tcPr>
            <w:tcW w:w="1917" w:type="dxa"/>
            <w:shd w:val="clear" w:color="auto" w:fill="auto"/>
            <w:vAlign w:val="center"/>
          </w:tcPr>
          <w:p w:rsidR="00703F37" w:rsidRPr="00FA5209" w:rsidRDefault="00703F37" w:rsidP="00703F37">
            <w:pPr>
              <w:kinsoku w:val="0"/>
              <w:wordWrap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N</w:t>
            </w:r>
            <w:r w:rsidRPr="00FA5209">
              <w:rPr>
                <w:rFonts w:ascii="Times New Roman" w:hAnsi="Times New Roman" w:hint="eastAsia"/>
                <w:szCs w:val="21"/>
              </w:rPr>
              <w:t>ingbo</w:t>
            </w:r>
            <w:r w:rsidRPr="00FA5209">
              <w:rPr>
                <w:rFonts w:ascii="Times New Roman" w:hAnsi="Times New Roman"/>
                <w:szCs w:val="21"/>
              </w:rPr>
              <w:t xml:space="preserve"> </w:t>
            </w:r>
            <w:proofErr w:type="spellStart"/>
            <w:r w:rsidRPr="00FA5209">
              <w:rPr>
                <w:rFonts w:ascii="Times New Roman" w:hAnsi="Times New Roman"/>
                <w:szCs w:val="21"/>
              </w:rPr>
              <w:t>Kuoneng</w:t>
            </w:r>
            <w:proofErr w:type="spellEnd"/>
            <w:r w:rsidRPr="00FA5209">
              <w:rPr>
                <w:rFonts w:ascii="Times New Roman" w:hAnsi="Times New Roman"/>
                <w:szCs w:val="21"/>
              </w:rPr>
              <w:t xml:space="preserve"> Venture Capital Partnership (Limited Partnership)</w:t>
            </w:r>
          </w:p>
        </w:tc>
        <w:tc>
          <w:tcPr>
            <w:tcW w:w="1656" w:type="dxa"/>
            <w:shd w:val="clear" w:color="auto" w:fill="auto"/>
            <w:vAlign w:val="center"/>
          </w:tcPr>
          <w:p w:rsidR="00703F37" w:rsidRPr="00703F37" w:rsidRDefault="00703F37" w:rsidP="00703F37">
            <w:pPr>
              <w:jc w:val="right"/>
              <w:rPr>
                <w:rFonts w:ascii="Times New Roman" w:eastAsiaTheme="majorEastAsia" w:hAnsi="Times New Roman"/>
              </w:rPr>
            </w:pPr>
            <w:r w:rsidRPr="00703F37">
              <w:rPr>
                <w:rFonts w:ascii="Times New Roman" w:eastAsiaTheme="majorEastAsia" w:hAnsi="Times New Roman"/>
              </w:rPr>
              <w:t>0</w:t>
            </w:r>
          </w:p>
        </w:tc>
        <w:tc>
          <w:tcPr>
            <w:tcW w:w="1559" w:type="dxa"/>
            <w:shd w:val="clear" w:color="auto" w:fill="auto"/>
            <w:vAlign w:val="center"/>
          </w:tcPr>
          <w:p w:rsidR="00703F37" w:rsidRPr="00703F37" w:rsidRDefault="00703F37" w:rsidP="00703F37">
            <w:pPr>
              <w:jc w:val="right"/>
              <w:rPr>
                <w:rFonts w:ascii="Times New Roman" w:eastAsiaTheme="majorEastAsia" w:hAnsi="Times New Roman"/>
              </w:rPr>
            </w:pPr>
            <w:r w:rsidRPr="00703F37">
              <w:rPr>
                <w:rFonts w:ascii="Times New Roman" w:eastAsiaTheme="majorEastAsia" w:hAnsi="Times New Roman"/>
              </w:rPr>
              <w:t>199,799,546</w:t>
            </w:r>
          </w:p>
        </w:tc>
        <w:tc>
          <w:tcPr>
            <w:tcW w:w="1134" w:type="dxa"/>
            <w:shd w:val="clear" w:color="auto" w:fill="auto"/>
            <w:vAlign w:val="center"/>
          </w:tcPr>
          <w:p w:rsidR="00703F37" w:rsidRPr="00703F37" w:rsidRDefault="00703F37" w:rsidP="00703F37">
            <w:pPr>
              <w:jc w:val="right"/>
              <w:rPr>
                <w:rFonts w:ascii="Times New Roman" w:eastAsiaTheme="majorEastAsia" w:hAnsi="Times New Roman"/>
              </w:rPr>
            </w:pPr>
            <w:r w:rsidRPr="00703F37">
              <w:rPr>
                <w:rFonts w:ascii="Times New Roman" w:eastAsiaTheme="majorEastAsia" w:hAnsi="Times New Roman"/>
              </w:rPr>
              <w:t>9.35</w:t>
            </w:r>
          </w:p>
        </w:tc>
        <w:tc>
          <w:tcPr>
            <w:tcW w:w="993" w:type="dxa"/>
            <w:shd w:val="clear" w:color="auto" w:fill="auto"/>
            <w:vAlign w:val="center"/>
          </w:tcPr>
          <w:p w:rsidR="00703F37" w:rsidRPr="00FA5209" w:rsidRDefault="00703F37" w:rsidP="00703F37">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703F37" w:rsidRPr="00FA5209" w:rsidRDefault="00703F37" w:rsidP="00703F37">
            <w:pPr>
              <w:jc w:val="center"/>
              <w:rPr>
                <w:rFonts w:ascii="Times New Roman" w:eastAsiaTheme="majorEastAsia" w:hAnsi="Times New Roman"/>
              </w:rPr>
            </w:pPr>
            <w:r w:rsidRPr="00FA5209">
              <w:rPr>
                <w:rFonts w:ascii="Times New Roman" w:eastAsiaTheme="majorEastAsia" w:hAnsi="Times New Roman" w:hint="eastAsia"/>
              </w:rPr>
              <w:t>none</w:t>
            </w:r>
          </w:p>
        </w:tc>
        <w:tc>
          <w:tcPr>
            <w:tcW w:w="1276" w:type="dxa"/>
            <w:shd w:val="clear" w:color="auto" w:fill="auto"/>
            <w:vAlign w:val="center"/>
          </w:tcPr>
          <w:p w:rsidR="00703F37" w:rsidRPr="00FA5209" w:rsidRDefault="00703F37" w:rsidP="00703F37">
            <w:pPr>
              <w:ind w:rightChars="-118" w:right="-248"/>
              <w:jc w:val="right"/>
              <w:rPr>
                <w:rFonts w:ascii="Times New Roman" w:eastAsiaTheme="majorEastAsia" w:hAnsi="Times New Roman"/>
              </w:rPr>
            </w:pPr>
          </w:p>
        </w:tc>
      </w:tr>
      <w:tr w:rsidR="00703F37" w:rsidRPr="00FA5209" w:rsidTr="00703F37">
        <w:trPr>
          <w:cantSplit/>
          <w:trHeight w:val="305"/>
        </w:trPr>
        <w:tc>
          <w:tcPr>
            <w:tcW w:w="1917" w:type="dxa"/>
            <w:shd w:val="clear" w:color="auto" w:fill="auto"/>
            <w:vAlign w:val="center"/>
          </w:tcPr>
          <w:p w:rsidR="00703F37" w:rsidRPr="00FA5209" w:rsidRDefault="00703F37" w:rsidP="00703F37">
            <w:pPr>
              <w:rPr>
                <w:rFonts w:ascii="Times New Roman" w:hAnsi="Times New Roman"/>
                <w:szCs w:val="21"/>
              </w:rPr>
            </w:pPr>
            <w:r w:rsidRPr="00FA5209">
              <w:rPr>
                <w:rFonts w:ascii="Times New Roman" w:hAnsi="Times New Roman"/>
                <w:szCs w:val="21"/>
              </w:rPr>
              <w:t>Chen Wei</w:t>
            </w:r>
          </w:p>
        </w:tc>
        <w:tc>
          <w:tcPr>
            <w:tcW w:w="1656" w:type="dxa"/>
            <w:shd w:val="clear" w:color="auto" w:fill="auto"/>
            <w:vAlign w:val="center"/>
          </w:tcPr>
          <w:p w:rsidR="00703F37" w:rsidRPr="00703F37" w:rsidRDefault="00E62137" w:rsidP="00703F37">
            <w:pPr>
              <w:jc w:val="right"/>
              <w:rPr>
                <w:rFonts w:ascii="Times New Roman" w:eastAsiaTheme="majorEastAsia" w:hAnsi="Times New Roman"/>
              </w:rPr>
            </w:pPr>
            <w:r>
              <w:rPr>
                <w:rFonts w:ascii="Times New Roman" w:eastAsiaTheme="majorEastAsia" w:hAnsi="Times New Roman"/>
              </w:rPr>
              <w:t>0</w:t>
            </w:r>
          </w:p>
        </w:tc>
        <w:tc>
          <w:tcPr>
            <w:tcW w:w="1559" w:type="dxa"/>
            <w:shd w:val="clear" w:color="auto" w:fill="auto"/>
            <w:vAlign w:val="center"/>
          </w:tcPr>
          <w:p w:rsidR="00703F37" w:rsidRPr="00703F37" w:rsidRDefault="00703F37" w:rsidP="00703F37">
            <w:pPr>
              <w:jc w:val="right"/>
              <w:rPr>
                <w:rFonts w:ascii="Times New Roman" w:eastAsiaTheme="majorEastAsia" w:hAnsi="Times New Roman"/>
              </w:rPr>
            </w:pPr>
            <w:r w:rsidRPr="00703F37">
              <w:rPr>
                <w:rFonts w:ascii="Times New Roman" w:eastAsiaTheme="majorEastAsia" w:hAnsi="Times New Roman"/>
              </w:rPr>
              <w:t>176,698,100</w:t>
            </w:r>
          </w:p>
        </w:tc>
        <w:tc>
          <w:tcPr>
            <w:tcW w:w="1134" w:type="dxa"/>
            <w:shd w:val="clear" w:color="auto" w:fill="auto"/>
            <w:vAlign w:val="center"/>
          </w:tcPr>
          <w:p w:rsidR="00703F37" w:rsidRPr="00703F37" w:rsidRDefault="00703F37" w:rsidP="00703F37">
            <w:pPr>
              <w:jc w:val="right"/>
              <w:rPr>
                <w:rFonts w:ascii="Times New Roman" w:eastAsiaTheme="majorEastAsia" w:hAnsi="Times New Roman"/>
              </w:rPr>
            </w:pPr>
            <w:r w:rsidRPr="00703F37">
              <w:rPr>
                <w:rFonts w:ascii="Times New Roman" w:eastAsiaTheme="majorEastAsia" w:hAnsi="Times New Roman"/>
              </w:rPr>
              <w:t>8.27</w:t>
            </w:r>
          </w:p>
        </w:tc>
        <w:tc>
          <w:tcPr>
            <w:tcW w:w="993" w:type="dxa"/>
            <w:shd w:val="clear" w:color="auto" w:fill="auto"/>
            <w:vAlign w:val="center"/>
          </w:tcPr>
          <w:p w:rsidR="00703F37" w:rsidRPr="00FA5209" w:rsidRDefault="00703F37" w:rsidP="00703F37">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703F37" w:rsidRPr="00FA5209" w:rsidRDefault="00703F37" w:rsidP="00703F37">
            <w:pPr>
              <w:jc w:val="center"/>
              <w:rPr>
                <w:rFonts w:ascii="Times New Roman" w:eastAsiaTheme="majorEastAsia" w:hAnsi="Times New Roman"/>
              </w:rPr>
            </w:pPr>
            <w:r w:rsidRPr="00FA5209">
              <w:rPr>
                <w:rFonts w:ascii="Times New Roman" w:eastAsiaTheme="majorEastAsia" w:hAnsi="Times New Roman" w:hint="eastAsia"/>
              </w:rPr>
              <w:t>none</w:t>
            </w:r>
          </w:p>
        </w:tc>
        <w:tc>
          <w:tcPr>
            <w:tcW w:w="1276" w:type="dxa"/>
            <w:shd w:val="clear" w:color="auto" w:fill="auto"/>
            <w:vAlign w:val="center"/>
          </w:tcPr>
          <w:p w:rsidR="00703F37" w:rsidRPr="00FA5209" w:rsidRDefault="00703F37" w:rsidP="00703F37">
            <w:pPr>
              <w:ind w:leftChars="-115" w:left="-241"/>
              <w:jc w:val="right"/>
              <w:rPr>
                <w:rFonts w:ascii="Times New Roman" w:eastAsiaTheme="majorEastAsia" w:hAnsi="Times New Roman"/>
              </w:rPr>
            </w:pPr>
          </w:p>
        </w:tc>
      </w:tr>
      <w:tr w:rsidR="00A7357F" w:rsidRPr="00FA5209" w:rsidTr="00703F37">
        <w:trPr>
          <w:cantSplit/>
          <w:trHeight w:val="611"/>
        </w:trPr>
        <w:tc>
          <w:tcPr>
            <w:tcW w:w="1917" w:type="dxa"/>
            <w:shd w:val="clear" w:color="auto" w:fill="auto"/>
            <w:vAlign w:val="center"/>
          </w:tcPr>
          <w:p w:rsidR="00A7357F" w:rsidRPr="00FA5209" w:rsidRDefault="00A7357F" w:rsidP="00A7357F">
            <w:pPr>
              <w:rPr>
                <w:rFonts w:ascii="Times New Roman" w:hAnsi="Times New Roman"/>
                <w:szCs w:val="21"/>
              </w:rPr>
            </w:pPr>
            <w:r w:rsidRPr="00FA5209">
              <w:rPr>
                <w:rFonts w:ascii="Times New Roman" w:hAnsi="Times New Roman"/>
                <w:szCs w:val="21"/>
              </w:rPr>
              <w:t>HKSCC</w:t>
            </w:r>
          </w:p>
        </w:tc>
        <w:tc>
          <w:tcPr>
            <w:tcW w:w="1656" w:type="dxa"/>
            <w:shd w:val="clear" w:color="auto" w:fill="auto"/>
            <w:vAlign w:val="center"/>
          </w:tcPr>
          <w:p w:rsidR="00A7357F" w:rsidRPr="00A7357F" w:rsidRDefault="00A7357F" w:rsidP="00A7357F">
            <w:pPr>
              <w:jc w:val="right"/>
              <w:rPr>
                <w:rFonts w:ascii="Times New Roman" w:eastAsiaTheme="majorEastAsia" w:hAnsi="Times New Roman"/>
              </w:rPr>
            </w:pPr>
            <w:r w:rsidRPr="00A7357F">
              <w:rPr>
                <w:rFonts w:ascii="Times New Roman" w:eastAsiaTheme="majorEastAsia" w:hAnsi="Times New Roman"/>
              </w:rPr>
              <w:t>-9,299,025</w:t>
            </w:r>
          </w:p>
        </w:tc>
        <w:tc>
          <w:tcPr>
            <w:tcW w:w="1559" w:type="dxa"/>
            <w:shd w:val="clear" w:color="auto" w:fill="auto"/>
            <w:vAlign w:val="center"/>
          </w:tcPr>
          <w:p w:rsidR="00A7357F" w:rsidRPr="00A7357F" w:rsidRDefault="00A7357F" w:rsidP="00A7357F">
            <w:pPr>
              <w:jc w:val="right"/>
              <w:rPr>
                <w:rFonts w:ascii="Times New Roman" w:eastAsiaTheme="majorEastAsia" w:hAnsi="Times New Roman"/>
              </w:rPr>
            </w:pPr>
            <w:r w:rsidRPr="00A7357F">
              <w:rPr>
                <w:rFonts w:ascii="Times New Roman" w:eastAsiaTheme="majorEastAsia" w:hAnsi="Times New Roman"/>
              </w:rPr>
              <w:t>92,540,408</w:t>
            </w:r>
          </w:p>
        </w:tc>
        <w:tc>
          <w:tcPr>
            <w:tcW w:w="1134" w:type="dxa"/>
            <w:shd w:val="clear" w:color="auto" w:fill="auto"/>
            <w:vAlign w:val="center"/>
          </w:tcPr>
          <w:p w:rsidR="00A7357F" w:rsidRPr="00A7357F" w:rsidRDefault="00A7357F" w:rsidP="00A7357F">
            <w:pPr>
              <w:jc w:val="right"/>
              <w:rPr>
                <w:rFonts w:ascii="Times New Roman" w:eastAsiaTheme="majorEastAsia" w:hAnsi="Times New Roman"/>
              </w:rPr>
            </w:pPr>
            <w:r w:rsidRPr="00A7357F">
              <w:rPr>
                <w:rFonts w:ascii="Times New Roman" w:eastAsiaTheme="majorEastAsia" w:hAnsi="Times New Roman" w:hint="eastAsia"/>
              </w:rPr>
              <w:t>4.33</w:t>
            </w:r>
          </w:p>
        </w:tc>
        <w:tc>
          <w:tcPr>
            <w:tcW w:w="993" w:type="dxa"/>
            <w:shd w:val="clear" w:color="auto" w:fill="auto"/>
            <w:vAlign w:val="center"/>
          </w:tcPr>
          <w:p w:rsidR="00A7357F" w:rsidRPr="00FA5209" w:rsidRDefault="00A7357F" w:rsidP="00A7357F">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A7357F" w:rsidRPr="00FA5209" w:rsidRDefault="00A7357F" w:rsidP="00A7357F">
            <w:pPr>
              <w:jc w:val="center"/>
              <w:rPr>
                <w:rFonts w:ascii="Times New Roman" w:eastAsiaTheme="majorEastAsia" w:hAnsi="Times New Roman"/>
              </w:rPr>
            </w:pPr>
            <w:r w:rsidRPr="00FA5209">
              <w:rPr>
                <w:rFonts w:ascii="Times New Roman" w:eastAsiaTheme="majorEastAsia" w:hAnsi="Times New Roman" w:hint="eastAsia"/>
              </w:rPr>
              <w:t>none</w:t>
            </w:r>
          </w:p>
        </w:tc>
        <w:tc>
          <w:tcPr>
            <w:tcW w:w="1276" w:type="dxa"/>
            <w:shd w:val="clear" w:color="auto" w:fill="auto"/>
            <w:vAlign w:val="center"/>
          </w:tcPr>
          <w:p w:rsidR="00A7357F" w:rsidRPr="00FA5209" w:rsidRDefault="00A7357F" w:rsidP="00A7357F">
            <w:pPr>
              <w:jc w:val="right"/>
              <w:rPr>
                <w:rFonts w:ascii="Times New Roman" w:eastAsiaTheme="majorEastAsia" w:hAnsi="Times New Roman"/>
              </w:rPr>
            </w:pPr>
          </w:p>
        </w:tc>
      </w:tr>
      <w:tr w:rsidR="00703F37" w:rsidRPr="00FA5209" w:rsidTr="00703F37">
        <w:trPr>
          <w:cantSplit/>
          <w:trHeight w:val="611"/>
        </w:trPr>
        <w:tc>
          <w:tcPr>
            <w:tcW w:w="1917" w:type="dxa"/>
            <w:shd w:val="clear" w:color="auto" w:fill="auto"/>
            <w:vAlign w:val="center"/>
          </w:tcPr>
          <w:p w:rsidR="00703F37" w:rsidRPr="00FA5209" w:rsidRDefault="00703F37" w:rsidP="00703F37">
            <w:pPr>
              <w:rPr>
                <w:rFonts w:ascii="Times New Roman" w:hAnsi="Times New Roman"/>
                <w:szCs w:val="21"/>
              </w:rPr>
            </w:pPr>
            <w:r w:rsidRPr="00FA5209">
              <w:rPr>
                <w:rFonts w:ascii="Times New Roman" w:hAnsi="Times New Roman"/>
                <w:szCs w:val="21"/>
              </w:rPr>
              <w:t xml:space="preserve">China Construction Bank Corporation - </w:t>
            </w:r>
            <w:proofErr w:type="spellStart"/>
            <w:r w:rsidRPr="00FA5209">
              <w:rPr>
                <w:rFonts w:ascii="Times New Roman" w:hAnsi="Times New Roman"/>
                <w:szCs w:val="21"/>
              </w:rPr>
              <w:t>Huaxia</w:t>
            </w:r>
            <w:proofErr w:type="spellEnd"/>
            <w:r w:rsidRPr="00FA5209">
              <w:rPr>
                <w:rFonts w:ascii="Times New Roman" w:hAnsi="Times New Roman"/>
                <w:szCs w:val="21"/>
              </w:rPr>
              <w:t xml:space="preserve"> Energy Innovation Equity Securities Investment Fund</w:t>
            </w:r>
          </w:p>
        </w:tc>
        <w:tc>
          <w:tcPr>
            <w:tcW w:w="1656" w:type="dxa"/>
            <w:shd w:val="clear" w:color="auto" w:fill="auto"/>
            <w:vAlign w:val="center"/>
          </w:tcPr>
          <w:p w:rsidR="00703F37" w:rsidRPr="00703F37" w:rsidRDefault="00703F37" w:rsidP="00703F37">
            <w:pPr>
              <w:jc w:val="right"/>
              <w:rPr>
                <w:rFonts w:ascii="Times New Roman" w:eastAsiaTheme="majorEastAsia" w:hAnsi="Times New Roman"/>
              </w:rPr>
            </w:pPr>
            <w:r w:rsidRPr="00703F37">
              <w:rPr>
                <w:rFonts w:ascii="Times New Roman" w:eastAsiaTheme="majorEastAsia" w:hAnsi="Times New Roman"/>
              </w:rPr>
              <w:t>0</w:t>
            </w:r>
          </w:p>
        </w:tc>
        <w:tc>
          <w:tcPr>
            <w:tcW w:w="1559" w:type="dxa"/>
            <w:shd w:val="clear" w:color="auto" w:fill="auto"/>
            <w:vAlign w:val="center"/>
          </w:tcPr>
          <w:p w:rsidR="00703F37" w:rsidRPr="00703F37" w:rsidRDefault="00703F37" w:rsidP="00703F37">
            <w:pPr>
              <w:jc w:val="right"/>
              <w:rPr>
                <w:rFonts w:ascii="Times New Roman" w:eastAsiaTheme="majorEastAsia" w:hAnsi="Times New Roman"/>
              </w:rPr>
            </w:pPr>
            <w:r w:rsidRPr="00703F37">
              <w:rPr>
                <w:rFonts w:ascii="Times New Roman" w:eastAsiaTheme="majorEastAsia" w:hAnsi="Times New Roman"/>
              </w:rPr>
              <w:t>43,177,892</w:t>
            </w:r>
          </w:p>
        </w:tc>
        <w:tc>
          <w:tcPr>
            <w:tcW w:w="1134" w:type="dxa"/>
            <w:shd w:val="clear" w:color="auto" w:fill="auto"/>
            <w:vAlign w:val="center"/>
          </w:tcPr>
          <w:p w:rsidR="00703F37" w:rsidRPr="00703F37" w:rsidRDefault="00703F37" w:rsidP="00703F37">
            <w:pPr>
              <w:jc w:val="right"/>
              <w:rPr>
                <w:rFonts w:ascii="Times New Roman" w:eastAsiaTheme="majorEastAsia" w:hAnsi="Times New Roman"/>
              </w:rPr>
            </w:pPr>
            <w:r w:rsidRPr="00703F37">
              <w:rPr>
                <w:rFonts w:ascii="Times New Roman" w:eastAsiaTheme="majorEastAsia" w:hAnsi="Times New Roman"/>
              </w:rPr>
              <w:t>2.02</w:t>
            </w:r>
          </w:p>
        </w:tc>
        <w:tc>
          <w:tcPr>
            <w:tcW w:w="993" w:type="dxa"/>
            <w:shd w:val="clear" w:color="auto" w:fill="auto"/>
            <w:vAlign w:val="center"/>
          </w:tcPr>
          <w:p w:rsidR="00703F37" w:rsidRPr="00FA5209" w:rsidRDefault="00820C81" w:rsidP="00703F37">
            <w:pPr>
              <w:jc w:val="right"/>
              <w:rPr>
                <w:rFonts w:ascii="Times New Roman" w:eastAsiaTheme="majorEastAsia" w:hAnsi="Times New Roman"/>
              </w:rPr>
            </w:pPr>
            <w:r>
              <w:rPr>
                <w:rFonts w:ascii="Times New Roman" w:eastAsiaTheme="majorEastAsia" w:hAnsi="Times New Roman" w:hint="eastAsia"/>
              </w:rPr>
              <w:t>0</w:t>
            </w:r>
          </w:p>
        </w:tc>
        <w:tc>
          <w:tcPr>
            <w:tcW w:w="850" w:type="dxa"/>
            <w:shd w:val="clear" w:color="auto" w:fill="auto"/>
            <w:vAlign w:val="center"/>
          </w:tcPr>
          <w:p w:rsidR="00703F37" w:rsidRPr="00FA5209" w:rsidRDefault="00820C81" w:rsidP="00703F37">
            <w:pPr>
              <w:jc w:val="center"/>
              <w:rPr>
                <w:rFonts w:ascii="Times New Roman" w:eastAsiaTheme="majorEastAsia" w:hAnsi="Times New Roman"/>
              </w:rPr>
            </w:pPr>
            <w:r w:rsidRPr="00820C81">
              <w:rPr>
                <w:rFonts w:ascii="Times New Roman" w:eastAsiaTheme="majorEastAsia" w:hAnsi="Times New Roman"/>
              </w:rPr>
              <w:t>none</w:t>
            </w:r>
          </w:p>
        </w:tc>
        <w:tc>
          <w:tcPr>
            <w:tcW w:w="1276" w:type="dxa"/>
            <w:shd w:val="clear" w:color="auto" w:fill="auto"/>
            <w:vAlign w:val="center"/>
          </w:tcPr>
          <w:p w:rsidR="00703F37" w:rsidRPr="00FA5209" w:rsidRDefault="00703F37" w:rsidP="00703F37">
            <w:pPr>
              <w:jc w:val="right"/>
              <w:rPr>
                <w:rFonts w:ascii="Times New Roman" w:eastAsiaTheme="majorEastAsia" w:hAnsi="Times New Roman"/>
              </w:rPr>
            </w:pPr>
          </w:p>
        </w:tc>
      </w:tr>
      <w:tr w:rsidR="00703F37" w:rsidRPr="00FA5209" w:rsidTr="00703F37">
        <w:trPr>
          <w:cantSplit/>
          <w:trHeight w:val="305"/>
        </w:trPr>
        <w:tc>
          <w:tcPr>
            <w:tcW w:w="1917" w:type="dxa"/>
            <w:shd w:val="clear" w:color="auto" w:fill="auto"/>
            <w:vAlign w:val="center"/>
          </w:tcPr>
          <w:p w:rsidR="00703F37" w:rsidRPr="00FA5209" w:rsidRDefault="00703F37" w:rsidP="00703F37">
            <w:pPr>
              <w:rPr>
                <w:rFonts w:ascii="Times New Roman" w:hAnsi="Times New Roman"/>
                <w:szCs w:val="21"/>
              </w:rPr>
            </w:pPr>
            <w:proofErr w:type="spellStart"/>
            <w:r w:rsidRPr="00703F37">
              <w:rPr>
                <w:rFonts w:ascii="Times New Roman" w:hAnsi="Times New Roman"/>
                <w:szCs w:val="21"/>
              </w:rPr>
              <w:t>Xiaodong</w:t>
            </w:r>
            <w:proofErr w:type="spellEnd"/>
            <w:r w:rsidRPr="00703F37">
              <w:rPr>
                <w:rFonts w:ascii="Times New Roman" w:hAnsi="Times New Roman"/>
                <w:szCs w:val="21"/>
              </w:rPr>
              <w:t xml:space="preserve"> Qi</w:t>
            </w:r>
          </w:p>
        </w:tc>
        <w:tc>
          <w:tcPr>
            <w:tcW w:w="1656" w:type="dxa"/>
            <w:shd w:val="clear" w:color="auto" w:fill="auto"/>
            <w:vAlign w:val="center"/>
          </w:tcPr>
          <w:p w:rsidR="00703F37" w:rsidRPr="00703F37" w:rsidRDefault="00703F37" w:rsidP="00703F37">
            <w:pPr>
              <w:jc w:val="right"/>
              <w:rPr>
                <w:rFonts w:ascii="Times New Roman" w:eastAsiaTheme="majorEastAsia" w:hAnsi="Times New Roman"/>
              </w:rPr>
            </w:pPr>
            <w:r w:rsidRPr="00703F37">
              <w:rPr>
                <w:rFonts w:ascii="Times New Roman" w:eastAsiaTheme="majorEastAsia" w:hAnsi="Times New Roman"/>
              </w:rPr>
              <w:t>0</w:t>
            </w:r>
          </w:p>
        </w:tc>
        <w:tc>
          <w:tcPr>
            <w:tcW w:w="1559" w:type="dxa"/>
            <w:shd w:val="clear" w:color="auto" w:fill="auto"/>
            <w:vAlign w:val="center"/>
          </w:tcPr>
          <w:p w:rsidR="00703F37" w:rsidRPr="00703F37" w:rsidRDefault="00703F37" w:rsidP="00703F37">
            <w:pPr>
              <w:jc w:val="right"/>
              <w:rPr>
                <w:rFonts w:ascii="Times New Roman" w:eastAsiaTheme="majorEastAsia" w:hAnsi="Times New Roman"/>
              </w:rPr>
            </w:pPr>
            <w:r w:rsidRPr="00703F37">
              <w:rPr>
                <w:rFonts w:ascii="Times New Roman" w:eastAsiaTheme="majorEastAsia" w:hAnsi="Times New Roman"/>
              </w:rPr>
              <w:t>37,990,000</w:t>
            </w:r>
          </w:p>
        </w:tc>
        <w:tc>
          <w:tcPr>
            <w:tcW w:w="1134" w:type="dxa"/>
            <w:shd w:val="clear" w:color="auto" w:fill="auto"/>
            <w:vAlign w:val="center"/>
          </w:tcPr>
          <w:p w:rsidR="00703F37" w:rsidRPr="00703F37" w:rsidRDefault="00703F37" w:rsidP="00703F37">
            <w:pPr>
              <w:jc w:val="right"/>
              <w:rPr>
                <w:rFonts w:ascii="Times New Roman" w:eastAsiaTheme="majorEastAsia" w:hAnsi="Times New Roman"/>
              </w:rPr>
            </w:pPr>
            <w:r w:rsidRPr="00703F37">
              <w:rPr>
                <w:rFonts w:ascii="Times New Roman" w:eastAsiaTheme="majorEastAsia" w:hAnsi="Times New Roman"/>
              </w:rPr>
              <w:t>1.78</w:t>
            </w:r>
          </w:p>
        </w:tc>
        <w:tc>
          <w:tcPr>
            <w:tcW w:w="993" w:type="dxa"/>
            <w:shd w:val="clear" w:color="auto" w:fill="auto"/>
            <w:vAlign w:val="center"/>
          </w:tcPr>
          <w:p w:rsidR="00703F37" w:rsidRPr="00FA5209" w:rsidRDefault="00703F37" w:rsidP="00703F37">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703F37" w:rsidRPr="00FA5209" w:rsidRDefault="00703F37" w:rsidP="00703F37">
            <w:pPr>
              <w:jc w:val="center"/>
              <w:rPr>
                <w:rFonts w:ascii="Times New Roman" w:eastAsiaTheme="majorEastAsia" w:hAnsi="Times New Roman"/>
              </w:rPr>
            </w:pPr>
            <w:r w:rsidRPr="00FA5209">
              <w:rPr>
                <w:rFonts w:ascii="Times New Roman" w:eastAsiaTheme="majorEastAsia" w:hAnsi="Times New Roman" w:hint="eastAsia"/>
              </w:rPr>
              <w:t>none</w:t>
            </w:r>
          </w:p>
        </w:tc>
        <w:tc>
          <w:tcPr>
            <w:tcW w:w="1276" w:type="dxa"/>
            <w:shd w:val="clear" w:color="auto" w:fill="auto"/>
            <w:vAlign w:val="center"/>
          </w:tcPr>
          <w:p w:rsidR="00703F37" w:rsidRPr="00FA5209" w:rsidRDefault="00703F37" w:rsidP="00703F37">
            <w:pPr>
              <w:jc w:val="right"/>
              <w:rPr>
                <w:rFonts w:ascii="Times New Roman" w:eastAsiaTheme="majorEastAsia" w:hAnsi="Times New Roman"/>
              </w:rPr>
            </w:pPr>
          </w:p>
        </w:tc>
      </w:tr>
      <w:tr w:rsidR="00A7357F" w:rsidRPr="00FA5209" w:rsidTr="00703F37">
        <w:trPr>
          <w:cantSplit/>
          <w:trHeight w:val="1234"/>
        </w:trPr>
        <w:tc>
          <w:tcPr>
            <w:tcW w:w="1917" w:type="dxa"/>
            <w:shd w:val="clear" w:color="auto" w:fill="auto"/>
            <w:vAlign w:val="center"/>
          </w:tcPr>
          <w:p w:rsidR="00A7357F" w:rsidRPr="00FA5209" w:rsidRDefault="00A7357F" w:rsidP="00A7357F">
            <w:pPr>
              <w:kinsoku w:val="0"/>
              <w:wordWrap w:val="0"/>
              <w:overflowPunct w:val="0"/>
              <w:autoSpaceDE w:val="0"/>
              <w:autoSpaceDN w:val="0"/>
              <w:adjustRightInd w:val="0"/>
              <w:snapToGrid w:val="0"/>
              <w:rPr>
                <w:rFonts w:ascii="Times New Roman" w:hAnsi="Times New Roman"/>
                <w:szCs w:val="21"/>
              </w:rPr>
            </w:pPr>
            <w:r w:rsidRPr="00A7357F">
              <w:rPr>
                <w:rFonts w:ascii="Times New Roman" w:hAnsi="Times New Roman"/>
                <w:szCs w:val="21"/>
              </w:rPr>
              <w:t>China Construction Bank Corporation - China Asset Management Energy Innovation Equity Securities Investment Fund</w:t>
            </w:r>
          </w:p>
        </w:tc>
        <w:tc>
          <w:tcPr>
            <w:tcW w:w="1656" w:type="dxa"/>
            <w:shd w:val="clear" w:color="auto" w:fill="auto"/>
            <w:vAlign w:val="center"/>
          </w:tcPr>
          <w:p w:rsidR="00A7357F" w:rsidRPr="00A7357F" w:rsidRDefault="00A7357F" w:rsidP="00A7357F">
            <w:pPr>
              <w:jc w:val="right"/>
              <w:rPr>
                <w:rFonts w:ascii="Times New Roman" w:eastAsiaTheme="majorEastAsia" w:hAnsi="Times New Roman"/>
              </w:rPr>
            </w:pPr>
            <w:r w:rsidRPr="00A7357F">
              <w:rPr>
                <w:rFonts w:ascii="Times New Roman" w:eastAsiaTheme="majorEastAsia" w:hAnsi="Times New Roman"/>
              </w:rPr>
              <w:t>359,200</w:t>
            </w:r>
          </w:p>
        </w:tc>
        <w:tc>
          <w:tcPr>
            <w:tcW w:w="1559" w:type="dxa"/>
            <w:shd w:val="clear" w:color="auto" w:fill="auto"/>
            <w:vAlign w:val="center"/>
          </w:tcPr>
          <w:p w:rsidR="00A7357F" w:rsidRPr="00A7357F" w:rsidRDefault="00A7357F" w:rsidP="00A7357F">
            <w:pPr>
              <w:jc w:val="right"/>
              <w:rPr>
                <w:rFonts w:ascii="Times New Roman" w:eastAsiaTheme="majorEastAsia" w:hAnsi="Times New Roman"/>
              </w:rPr>
            </w:pPr>
            <w:r w:rsidRPr="00A7357F">
              <w:rPr>
                <w:rFonts w:ascii="Times New Roman" w:eastAsiaTheme="majorEastAsia" w:hAnsi="Times New Roman"/>
              </w:rPr>
              <w:t>22,317,114</w:t>
            </w:r>
          </w:p>
        </w:tc>
        <w:tc>
          <w:tcPr>
            <w:tcW w:w="1134" w:type="dxa"/>
            <w:shd w:val="clear" w:color="auto" w:fill="auto"/>
            <w:vAlign w:val="center"/>
          </w:tcPr>
          <w:p w:rsidR="00A7357F" w:rsidRPr="00A7357F" w:rsidRDefault="00A7357F" w:rsidP="00A7357F">
            <w:pPr>
              <w:jc w:val="right"/>
              <w:rPr>
                <w:rFonts w:ascii="Times New Roman" w:eastAsiaTheme="majorEastAsia" w:hAnsi="Times New Roman"/>
              </w:rPr>
            </w:pPr>
            <w:r w:rsidRPr="00A7357F">
              <w:rPr>
                <w:rFonts w:ascii="Times New Roman" w:eastAsiaTheme="majorEastAsia" w:hAnsi="Times New Roman" w:hint="eastAsia"/>
              </w:rPr>
              <w:t>1</w:t>
            </w:r>
            <w:r w:rsidRPr="00A7357F">
              <w:rPr>
                <w:rFonts w:ascii="Times New Roman" w:eastAsiaTheme="majorEastAsia" w:hAnsi="Times New Roman"/>
              </w:rPr>
              <w:t>.04</w:t>
            </w:r>
          </w:p>
        </w:tc>
        <w:tc>
          <w:tcPr>
            <w:tcW w:w="993" w:type="dxa"/>
            <w:shd w:val="clear" w:color="auto" w:fill="auto"/>
            <w:vAlign w:val="center"/>
          </w:tcPr>
          <w:p w:rsidR="00A7357F" w:rsidRPr="00FA5209" w:rsidRDefault="00A7357F" w:rsidP="00A7357F">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A7357F" w:rsidRPr="00FA5209" w:rsidRDefault="00A7357F" w:rsidP="00A7357F">
            <w:pPr>
              <w:jc w:val="center"/>
              <w:rPr>
                <w:rFonts w:ascii="Times New Roman" w:eastAsiaTheme="majorEastAsia" w:hAnsi="Times New Roman"/>
              </w:rPr>
            </w:pPr>
            <w:r w:rsidRPr="00FA5209">
              <w:rPr>
                <w:rFonts w:ascii="Times New Roman" w:eastAsiaTheme="majorEastAsia" w:hAnsi="Times New Roman" w:hint="eastAsia"/>
              </w:rPr>
              <w:t>none</w:t>
            </w:r>
          </w:p>
        </w:tc>
        <w:tc>
          <w:tcPr>
            <w:tcW w:w="1276" w:type="dxa"/>
            <w:shd w:val="clear" w:color="auto" w:fill="auto"/>
            <w:vAlign w:val="center"/>
          </w:tcPr>
          <w:p w:rsidR="00A7357F" w:rsidRPr="00FA5209" w:rsidRDefault="00A7357F" w:rsidP="00A7357F">
            <w:pPr>
              <w:jc w:val="right"/>
              <w:rPr>
                <w:rFonts w:ascii="Times New Roman" w:eastAsiaTheme="majorEastAsia" w:hAnsi="Times New Roman"/>
              </w:rPr>
            </w:pPr>
          </w:p>
        </w:tc>
      </w:tr>
      <w:tr w:rsidR="00A7357F" w:rsidRPr="00FA5209" w:rsidTr="00703F37">
        <w:trPr>
          <w:cantSplit/>
          <w:trHeight w:val="1529"/>
        </w:trPr>
        <w:tc>
          <w:tcPr>
            <w:tcW w:w="1917" w:type="dxa"/>
            <w:shd w:val="clear" w:color="auto" w:fill="auto"/>
            <w:vAlign w:val="center"/>
          </w:tcPr>
          <w:p w:rsidR="00A7357F" w:rsidRPr="00FA5209" w:rsidRDefault="00A7357F" w:rsidP="00A7357F">
            <w:pPr>
              <w:kinsoku w:val="0"/>
              <w:wordWrap w:val="0"/>
              <w:overflowPunct w:val="0"/>
              <w:autoSpaceDE w:val="0"/>
              <w:autoSpaceDN w:val="0"/>
              <w:adjustRightInd w:val="0"/>
              <w:snapToGrid w:val="0"/>
              <w:rPr>
                <w:rFonts w:ascii="Times New Roman" w:hAnsi="Times New Roman"/>
                <w:szCs w:val="21"/>
              </w:rPr>
            </w:pPr>
            <w:r w:rsidRPr="00A7357F">
              <w:rPr>
                <w:rFonts w:ascii="Times New Roman" w:hAnsi="Times New Roman"/>
                <w:szCs w:val="21"/>
              </w:rPr>
              <w:t>Postal Savings Bank of China Co., Ltd. - Orient Fund Small and Medium-Cap Growth Open-End Hybrid Securities Investment Fund</w:t>
            </w:r>
          </w:p>
        </w:tc>
        <w:tc>
          <w:tcPr>
            <w:tcW w:w="1656" w:type="dxa"/>
            <w:shd w:val="clear" w:color="auto" w:fill="auto"/>
            <w:vAlign w:val="center"/>
          </w:tcPr>
          <w:p w:rsidR="00A7357F" w:rsidRPr="00A7357F" w:rsidRDefault="00A7357F" w:rsidP="00A7357F">
            <w:pPr>
              <w:jc w:val="right"/>
              <w:rPr>
                <w:rFonts w:ascii="Times New Roman" w:eastAsiaTheme="majorEastAsia" w:hAnsi="Times New Roman"/>
              </w:rPr>
            </w:pPr>
            <w:r w:rsidRPr="00A7357F">
              <w:rPr>
                <w:rFonts w:ascii="Times New Roman" w:eastAsiaTheme="majorEastAsia" w:hAnsi="Times New Roman"/>
              </w:rPr>
              <w:t>-9,326,819</w:t>
            </w:r>
          </w:p>
        </w:tc>
        <w:tc>
          <w:tcPr>
            <w:tcW w:w="1559" w:type="dxa"/>
            <w:shd w:val="clear" w:color="auto" w:fill="auto"/>
            <w:vAlign w:val="center"/>
          </w:tcPr>
          <w:p w:rsidR="00A7357F" w:rsidRPr="00A7357F" w:rsidRDefault="00A7357F" w:rsidP="00A7357F">
            <w:pPr>
              <w:jc w:val="right"/>
              <w:rPr>
                <w:rFonts w:ascii="Times New Roman" w:eastAsiaTheme="majorEastAsia" w:hAnsi="Times New Roman"/>
              </w:rPr>
            </w:pPr>
            <w:r w:rsidRPr="00A7357F">
              <w:rPr>
                <w:rFonts w:ascii="Times New Roman" w:eastAsiaTheme="majorEastAsia" w:hAnsi="Times New Roman"/>
              </w:rPr>
              <w:t>21,225,586</w:t>
            </w:r>
          </w:p>
        </w:tc>
        <w:tc>
          <w:tcPr>
            <w:tcW w:w="1134" w:type="dxa"/>
            <w:shd w:val="clear" w:color="auto" w:fill="auto"/>
            <w:vAlign w:val="center"/>
          </w:tcPr>
          <w:p w:rsidR="00A7357F" w:rsidRPr="00A7357F" w:rsidRDefault="00A7357F" w:rsidP="00A7357F">
            <w:pPr>
              <w:jc w:val="right"/>
              <w:rPr>
                <w:rFonts w:ascii="Times New Roman" w:eastAsiaTheme="majorEastAsia" w:hAnsi="Times New Roman"/>
              </w:rPr>
            </w:pPr>
            <w:r w:rsidRPr="00A7357F">
              <w:rPr>
                <w:rFonts w:ascii="Times New Roman" w:eastAsiaTheme="majorEastAsia" w:hAnsi="Times New Roman" w:hint="eastAsia"/>
              </w:rPr>
              <w:t>0</w:t>
            </w:r>
            <w:r w:rsidRPr="00A7357F">
              <w:rPr>
                <w:rFonts w:ascii="Times New Roman" w:eastAsiaTheme="majorEastAsia" w:hAnsi="Times New Roman"/>
              </w:rPr>
              <w:t>.99</w:t>
            </w:r>
          </w:p>
        </w:tc>
        <w:tc>
          <w:tcPr>
            <w:tcW w:w="993" w:type="dxa"/>
            <w:shd w:val="clear" w:color="auto" w:fill="auto"/>
            <w:vAlign w:val="center"/>
          </w:tcPr>
          <w:p w:rsidR="00A7357F" w:rsidRPr="00FA5209" w:rsidRDefault="00A7357F" w:rsidP="00A7357F">
            <w:pPr>
              <w:jc w:val="right"/>
              <w:rPr>
                <w:rFonts w:ascii="Times New Roman" w:eastAsiaTheme="majorEastAsia" w:hAnsi="Times New Roman"/>
              </w:rPr>
            </w:pPr>
            <w:r>
              <w:rPr>
                <w:rFonts w:ascii="Times New Roman" w:eastAsiaTheme="majorEastAsia" w:hAnsi="Times New Roman" w:hint="eastAsia"/>
              </w:rPr>
              <w:t>0</w:t>
            </w:r>
          </w:p>
        </w:tc>
        <w:tc>
          <w:tcPr>
            <w:tcW w:w="850" w:type="dxa"/>
            <w:shd w:val="clear" w:color="auto" w:fill="auto"/>
            <w:vAlign w:val="center"/>
          </w:tcPr>
          <w:p w:rsidR="00A7357F" w:rsidRPr="00FA5209" w:rsidRDefault="00A7357F" w:rsidP="00A7357F">
            <w:pPr>
              <w:jc w:val="center"/>
              <w:rPr>
                <w:rFonts w:ascii="Times New Roman" w:eastAsiaTheme="majorEastAsia" w:hAnsi="Times New Roman"/>
              </w:rPr>
            </w:pPr>
            <w:r w:rsidRPr="00FA5209">
              <w:rPr>
                <w:rFonts w:ascii="Times New Roman" w:eastAsiaTheme="majorEastAsia" w:hAnsi="Times New Roman" w:hint="eastAsia"/>
              </w:rPr>
              <w:t>none</w:t>
            </w:r>
          </w:p>
        </w:tc>
        <w:tc>
          <w:tcPr>
            <w:tcW w:w="1276" w:type="dxa"/>
            <w:shd w:val="clear" w:color="auto" w:fill="auto"/>
            <w:vAlign w:val="center"/>
          </w:tcPr>
          <w:p w:rsidR="00A7357F" w:rsidRPr="00FA5209" w:rsidRDefault="00A7357F" w:rsidP="00A7357F">
            <w:pPr>
              <w:jc w:val="right"/>
              <w:rPr>
                <w:rFonts w:ascii="Times New Roman" w:eastAsiaTheme="majorEastAsia" w:hAnsi="Times New Roman"/>
              </w:rPr>
            </w:pPr>
          </w:p>
        </w:tc>
      </w:tr>
      <w:tr w:rsidR="00A7357F" w:rsidRPr="00FA5209" w:rsidTr="00703F37">
        <w:trPr>
          <w:cantSplit/>
          <w:trHeight w:val="1540"/>
        </w:trPr>
        <w:tc>
          <w:tcPr>
            <w:tcW w:w="1917" w:type="dxa"/>
            <w:shd w:val="clear" w:color="auto" w:fill="auto"/>
            <w:vAlign w:val="center"/>
          </w:tcPr>
          <w:p w:rsidR="00A7357F" w:rsidRPr="00FA5209" w:rsidRDefault="00A7357F" w:rsidP="00A7357F">
            <w:pPr>
              <w:kinsoku w:val="0"/>
              <w:wordWrap w:val="0"/>
              <w:overflowPunct w:val="0"/>
              <w:autoSpaceDE w:val="0"/>
              <w:autoSpaceDN w:val="0"/>
              <w:adjustRightInd w:val="0"/>
              <w:snapToGrid w:val="0"/>
              <w:rPr>
                <w:rFonts w:ascii="Times New Roman" w:hAnsi="Times New Roman"/>
                <w:szCs w:val="21"/>
              </w:rPr>
            </w:pPr>
            <w:r w:rsidRPr="00A7357F">
              <w:rPr>
                <w:rFonts w:ascii="Times New Roman" w:hAnsi="Times New Roman"/>
                <w:szCs w:val="21"/>
              </w:rPr>
              <w:t>Agricultural Bank of China Limited - CSI 500 Exchange-Traded Open-End Index Securities Investment Fund</w:t>
            </w:r>
          </w:p>
        </w:tc>
        <w:tc>
          <w:tcPr>
            <w:tcW w:w="1656" w:type="dxa"/>
            <w:shd w:val="clear" w:color="auto" w:fill="auto"/>
            <w:vAlign w:val="center"/>
          </w:tcPr>
          <w:p w:rsidR="00A7357F" w:rsidRPr="00A7357F" w:rsidRDefault="00A7357F" w:rsidP="00A7357F">
            <w:pPr>
              <w:jc w:val="right"/>
              <w:rPr>
                <w:rFonts w:ascii="Times New Roman" w:eastAsiaTheme="majorEastAsia" w:hAnsi="Times New Roman"/>
              </w:rPr>
            </w:pPr>
            <w:r w:rsidRPr="00A7357F">
              <w:rPr>
                <w:rFonts w:ascii="Times New Roman" w:eastAsiaTheme="majorEastAsia" w:hAnsi="Times New Roman"/>
              </w:rPr>
              <w:t>15,853,655</w:t>
            </w:r>
          </w:p>
        </w:tc>
        <w:tc>
          <w:tcPr>
            <w:tcW w:w="1559" w:type="dxa"/>
            <w:shd w:val="clear" w:color="auto" w:fill="auto"/>
            <w:vAlign w:val="center"/>
          </w:tcPr>
          <w:p w:rsidR="00A7357F" w:rsidRPr="00A7357F" w:rsidRDefault="00A7357F" w:rsidP="00A7357F">
            <w:pPr>
              <w:jc w:val="right"/>
              <w:rPr>
                <w:rFonts w:ascii="Times New Roman" w:eastAsiaTheme="majorEastAsia" w:hAnsi="Times New Roman"/>
              </w:rPr>
            </w:pPr>
            <w:r w:rsidRPr="00A7357F">
              <w:rPr>
                <w:rFonts w:ascii="Times New Roman" w:eastAsiaTheme="majorEastAsia" w:hAnsi="Times New Roman"/>
              </w:rPr>
              <w:t>15,853,655</w:t>
            </w:r>
          </w:p>
        </w:tc>
        <w:tc>
          <w:tcPr>
            <w:tcW w:w="1134" w:type="dxa"/>
            <w:shd w:val="clear" w:color="auto" w:fill="auto"/>
            <w:vAlign w:val="center"/>
          </w:tcPr>
          <w:p w:rsidR="00A7357F" w:rsidRPr="00A7357F" w:rsidRDefault="00A7357F" w:rsidP="00A7357F">
            <w:pPr>
              <w:jc w:val="right"/>
              <w:rPr>
                <w:rFonts w:ascii="Times New Roman" w:eastAsiaTheme="majorEastAsia" w:hAnsi="Times New Roman"/>
              </w:rPr>
            </w:pPr>
            <w:r w:rsidRPr="00A7357F">
              <w:rPr>
                <w:rFonts w:ascii="Times New Roman" w:eastAsiaTheme="majorEastAsia" w:hAnsi="Times New Roman" w:hint="eastAsia"/>
              </w:rPr>
              <w:t>0</w:t>
            </w:r>
            <w:r w:rsidRPr="00A7357F">
              <w:rPr>
                <w:rFonts w:ascii="Times New Roman" w:eastAsiaTheme="majorEastAsia" w:hAnsi="Times New Roman"/>
              </w:rPr>
              <w:t>.74</w:t>
            </w:r>
          </w:p>
        </w:tc>
        <w:tc>
          <w:tcPr>
            <w:tcW w:w="993" w:type="dxa"/>
            <w:shd w:val="clear" w:color="auto" w:fill="auto"/>
            <w:vAlign w:val="center"/>
          </w:tcPr>
          <w:p w:rsidR="00A7357F" w:rsidRPr="00FA5209" w:rsidRDefault="00A7357F" w:rsidP="00A7357F">
            <w:pPr>
              <w:jc w:val="right"/>
              <w:rPr>
                <w:rFonts w:ascii="Times New Roman" w:eastAsiaTheme="majorEastAsia" w:hAnsi="Times New Roman"/>
              </w:rPr>
            </w:pPr>
            <w:r>
              <w:rPr>
                <w:rFonts w:ascii="Times New Roman" w:eastAsiaTheme="majorEastAsia" w:hAnsi="Times New Roman" w:hint="eastAsia"/>
              </w:rPr>
              <w:t>0</w:t>
            </w:r>
          </w:p>
        </w:tc>
        <w:tc>
          <w:tcPr>
            <w:tcW w:w="850" w:type="dxa"/>
            <w:shd w:val="clear" w:color="auto" w:fill="auto"/>
            <w:vAlign w:val="center"/>
          </w:tcPr>
          <w:p w:rsidR="00A7357F" w:rsidRPr="00FA5209" w:rsidRDefault="00A7357F" w:rsidP="00A7357F">
            <w:pPr>
              <w:jc w:val="center"/>
              <w:rPr>
                <w:rFonts w:ascii="Times New Roman" w:eastAsiaTheme="majorEastAsia" w:hAnsi="Times New Roman"/>
              </w:rPr>
            </w:pPr>
            <w:r w:rsidRPr="00FA5209">
              <w:rPr>
                <w:rFonts w:ascii="Times New Roman" w:eastAsiaTheme="majorEastAsia" w:hAnsi="Times New Roman" w:hint="eastAsia"/>
              </w:rPr>
              <w:t>none</w:t>
            </w:r>
          </w:p>
        </w:tc>
        <w:tc>
          <w:tcPr>
            <w:tcW w:w="1276" w:type="dxa"/>
            <w:shd w:val="clear" w:color="auto" w:fill="auto"/>
            <w:vAlign w:val="center"/>
          </w:tcPr>
          <w:p w:rsidR="00A7357F" w:rsidRPr="00FA5209" w:rsidRDefault="00A7357F" w:rsidP="00A7357F">
            <w:pPr>
              <w:jc w:val="right"/>
              <w:rPr>
                <w:rFonts w:ascii="Times New Roman" w:eastAsiaTheme="majorEastAsia" w:hAnsi="Times New Roman"/>
              </w:rPr>
            </w:pPr>
          </w:p>
        </w:tc>
      </w:tr>
    </w:tbl>
    <w:p w:rsidR="009C052E" w:rsidRPr="00FA5209" w:rsidRDefault="009C052E">
      <w:pPr>
        <w:spacing w:line="276" w:lineRule="auto"/>
        <w:ind w:firstLineChars="200" w:firstLine="420"/>
        <w:jc w:val="right"/>
        <w:rPr>
          <w:rFonts w:ascii="Times New Roman" w:hAnsi="Times New Roman" w:cs="Times New Roman"/>
          <w:lang w:val="en"/>
        </w:rPr>
      </w:pPr>
    </w:p>
    <w:p w:rsidR="009C052E" w:rsidRDefault="00FF7444">
      <w:pPr>
        <w:jc w:val="right"/>
        <w:rPr>
          <w:rFonts w:ascii="Times New Roman" w:hAnsi="Times New Roman" w:cs="Times New Roman"/>
          <w:lang w:val="en"/>
        </w:rPr>
      </w:pPr>
      <w:r w:rsidRPr="00FA5209">
        <w:rPr>
          <w:rFonts w:ascii="Times New Roman" w:hAnsi="Times New Roman" w:cs="Times New Roman"/>
          <w:lang w:val="en"/>
        </w:rPr>
        <w:lastRenderedPageBreak/>
        <w:t xml:space="preserve">Shanghai </w:t>
      </w:r>
      <w:proofErr w:type="spellStart"/>
      <w:r w:rsidRPr="00FA5209">
        <w:rPr>
          <w:rFonts w:ascii="Times New Roman" w:hAnsi="Times New Roman" w:cs="Times New Roman"/>
          <w:lang w:val="en"/>
        </w:rPr>
        <w:t>Putailai</w:t>
      </w:r>
      <w:proofErr w:type="spellEnd"/>
      <w:r w:rsidRPr="00FA5209">
        <w:rPr>
          <w:rFonts w:ascii="Times New Roman" w:hAnsi="Times New Roman" w:cs="Times New Roman"/>
          <w:lang w:val="en"/>
        </w:rPr>
        <w:t xml:space="preserve"> New Energy Technology Co., Ltd.</w:t>
      </w:r>
    </w:p>
    <w:sectPr w:rsidR="009C052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C81" w:rsidRDefault="00D00C81">
      <w:r>
        <w:separator/>
      </w:r>
    </w:p>
  </w:endnote>
  <w:endnote w:type="continuationSeparator" w:id="0">
    <w:p w:rsidR="00D00C81" w:rsidRDefault="00D0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C81" w:rsidRDefault="00D00C81">
      <w:r>
        <w:separator/>
      </w:r>
    </w:p>
  </w:footnote>
  <w:footnote w:type="continuationSeparator" w:id="0">
    <w:p w:rsidR="00D00C81" w:rsidRDefault="00D00C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52E" w:rsidRDefault="00FF7444">
    <w:pPr>
      <w:pStyle w:val="a9"/>
      <w:jc w:val="left"/>
    </w:pPr>
    <w:r>
      <w:rPr>
        <w:noProof/>
        <w:lang w:val="en-US"/>
      </w:rPr>
      <w:drawing>
        <wp:inline distT="0" distB="0" distL="0" distR="0">
          <wp:extent cx="962214" cy="322746"/>
          <wp:effectExtent l="0" t="0" r="0" b="127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标志.png"/>
                  <pic:cNvPicPr/>
                </pic:nvPicPr>
                <pic:blipFill>
                  <a:blip r:embed="rId1" cstate="print">
                    <a:extLst/>
                  </a:blip>
                  <a:stretch>
                    <a:fillRect/>
                  </a:stretch>
                </pic:blipFill>
                <pic:spPr>
                  <a:xfrm>
                    <a:off x="0" y="0"/>
                    <a:ext cx="1050444" cy="352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F3B0A"/>
    <w:multiLevelType w:val="multilevel"/>
    <w:tmpl w:val="A4A265BC"/>
    <w:lvl w:ilvl="0">
      <w:start w:val="1"/>
      <w:numFmt w:val="chineseCountingThousand"/>
      <w:lvlText w:val="(%1)"/>
      <w:lvlJc w:val="left"/>
      <w:pPr>
        <w:ind w:left="0" w:firstLine="0"/>
      </w:pPr>
      <w:rPr>
        <w:rFonts w:hint="default"/>
      </w:rPr>
    </w:lvl>
    <w:lvl w:ilvl="1">
      <w:start w:val="1"/>
      <w:numFmt w:val="decimal"/>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246C0E3A"/>
    <w:multiLevelType w:val="multilevel"/>
    <w:tmpl w:val="0AA00B50"/>
    <w:lvl w:ilvl="0">
      <w:start w:val="1"/>
      <w:numFmt w:val="decimal"/>
      <w:lvlText w:val="(%1). "/>
      <w:lvlJc w:val="left"/>
      <w:pPr>
        <w:ind w:left="425" w:hanging="425"/>
      </w:pPr>
      <w:rPr>
        <w:rFonts w:hint="eastAsia"/>
        <w:color w:val="auto"/>
        <w:u w:val="none"/>
      </w:rPr>
    </w:lvl>
    <w:lvl w:ilvl="1">
      <w:start w:val="1"/>
      <w:numFmt w:val="upperLetter"/>
      <w:lvlText w:val="%2."/>
      <w:lvlJc w:val="left"/>
      <w:pPr>
        <w:ind w:left="567" w:hanging="567"/>
      </w:pPr>
      <w:rPr>
        <w:rFonts w:hint="eastAsia"/>
        <w:strike w:val="0"/>
        <w:color w:val="auto"/>
        <w:bdr w:val="none" w:sz="0" w:space="0" w:color="auto"/>
        <w:lang w:val="en"/>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14"/>
    <w:rsid w:val="000072F1"/>
    <w:rsid w:val="00007BA7"/>
    <w:rsid w:val="0002139A"/>
    <w:rsid w:val="000241E2"/>
    <w:rsid w:val="000340F3"/>
    <w:rsid w:val="00042759"/>
    <w:rsid w:val="0005037A"/>
    <w:rsid w:val="000727D9"/>
    <w:rsid w:val="00072A8E"/>
    <w:rsid w:val="00076D5E"/>
    <w:rsid w:val="00077242"/>
    <w:rsid w:val="0008344C"/>
    <w:rsid w:val="00091BF5"/>
    <w:rsid w:val="000B3687"/>
    <w:rsid w:val="000B4D8A"/>
    <w:rsid w:val="000C30D2"/>
    <w:rsid w:val="000D3E2F"/>
    <w:rsid w:val="000D710A"/>
    <w:rsid w:val="001004CB"/>
    <w:rsid w:val="0010314A"/>
    <w:rsid w:val="00113DEB"/>
    <w:rsid w:val="00116491"/>
    <w:rsid w:val="00124B80"/>
    <w:rsid w:val="00141B44"/>
    <w:rsid w:val="00146F47"/>
    <w:rsid w:val="0015014B"/>
    <w:rsid w:val="00161F45"/>
    <w:rsid w:val="001633E3"/>
    <w:rsid w:val="00165D0C"/>
    <w:rsid w:val="0017399F"/>
    <w:rsid w:val="00175AD4"/>
    <w:rsid w:val="001847D7"/>
    <w:rsid w:val="00185948"/>
    <w:rsid w:val="00196E54"/>
    <w:rsid w:val="001A7245"/>
    <w:rsid w:val="001B3BD2"/>
    <w:rsid w:val="001C297B"/>
    <w:rsid w:val="001C54F4"/>
    <w:rsid w:val="001C55D3"/>
    <w:rsid w:val="001E3782"/>
    <w:rsid w:val="001F448E"/>
    <w:rsid w:val="001F5811"/>
    <w:rsid w:val="001F5BF2"/>
    <w:rsid w:val="00201CE9"/>
    <w:rsid w:val="0020557B"/>
    <w:rsid w:val="002221D5"/>
    <w:rsid w:val="002258DF"/>
    <w:rsid w:val="00226EE6"/>
    <w:rsid w:val="00231779"/>
    <w:rsid w:val="00260F21"/>
    <w:rsid w:val="00263E39"/>
    <w:rsid w:val="0026508D"/>
    <w:rsid w:val="0027204B"/>
    <w:rsid w:val="00281440"/>
    <w:rsid w:val="00285BAB"/>
    <w:rsid w:val="00290FA3"/>
    <w:rsid w:val="00294957"/>
    <w:rsid w:val="0029556D"/>
    <w:rsid w:val="00295FD9"/>
    <w:rsid w:val="002A6FEA"/>
    <w:rsid w:val="002D1B7C"/>
    <w:rsid w:val="002D2930"/>
    <w:rsid w:val="002E35AF"/>
    <w:rsid w:val="002F14E4"/>
    <w:rsid w:val="002F4F42"/>
    <w:rsid w:val="00301960"/>
    <w:rsid w:val="00302519"/>
    <w:rsid w:val="00317B06"/>
    <w:rsid w:val="00323D78"/>
    <w:rsid w:val="00326BE4"/>
    <w:rsid w:val="00330731"/>
    <w:rsid w:val="00341577"/>
    <w:rsid w:val="0034361A"/>
    <w:rsid w:val="00344B88"/>
    <w:rsid w:val="00351B57"/>
    <w:rsid w:val="00353410"/>
    <w:rsid w:val="00361227"/>
    <w:rsid w:val="0036181A"/>
    <w:rsid w:val="00366FFD"/>
    <w:rsid w:val="003745CD"/>
    <w:rsid w:val="00381944"/>
    <w:rsid w:val="003829B9"/>
    <w:rsid w:val="00382B7F"/>
    <w:rsid w:val="003921F4"/>
    <w:rsid w:val="00394A43"/>
    <w:rsid w:val="003A3DC6"/>
    <w:rsid w:val="003A4871"/>
    <w:rsid w:val="003A76AA"/>
    <w:rsid w:val="003B1B74"/>
    <w:rsid w:val="003C0EEF"/>
    <w:rsid w:val="003C70FF"/>
    <w:rsid w:val="003D4016"/>
    <w:rsid w:val="003D567B"/>
    <w:rsid w:val="003E28F0"/>
    <w:rsid w:val="003F2182"/>
    <w:rsid w:val="003F661B"/>
    <w:rsid w:val="00406550"/>
    <w:rsid w:val="004115F1"/>
    <w:rsid w:val="004560E0"/>
    <w:rsid w:val="004673FB"/>
    <w:rsid w:val="00467B73"/>
    <w:rsid w:val="00470D7F"/>
    <w:rsid w:val="00487F17"/>
    <w:rsid w:val="00490263"/>
    <w:rsid w:val="004912E7"/>
    <w:rsid w:val="00492E78"/>
    <w:rsid w:val="004952A3"/>
    <w:rsid w:val="004970D5"/>
    <w:rsid w:val="004978C9"/>
    <w:rsid w:val="004A050D"/>
    <w:rsid w:val="004A13C8"/>
    <w:rsid w:val="004A1D08"/>
    <w:rsid w:val="004B0738"/>
    <w:rsid w:val="004B544B"/>
    <w:rsid w:val="004C209A"/>
    <w:rsid w:val="004D0E3B"/>
    <w:rsid w:val="004D7D19"/>
    <w:rsid w:val="004E683D"/>
    <w:rsid w:val="004F045D"/>
    <w:rsid w:val="004F520F"/>
    <w:rsid w:val="004F53DF"/>
    <w:rsid w:val="0052095D"/>
    <w:rsid w:val="0052748D"/>
    <w:rsid w:val="00532104"/>
    <w:rsid w:val="00547672"/>
    <w:rsid w:val="005604F2"/>
    <w:rsid w:val="0056403B"/>
    <w:rsid w:val="00571259"/>
    <w:rsid w:val="00572DAC"/>
    <w:rsid w:val="005766AC"/>
    <w:rsid w:val="00585270"/>
    <w:rsid w:val="005A219A"/>
    <w:rsid w:val="005A357B"/>
    <w:rsid w:val="005B17F8"/>
    <w:rsid w:val="005C12C3"/>
    <w:rsid w:val="005C1D29"/>
    <w:rsid w:val="005C4566"/>
    <w:rsid w:val="005D1134"/>
    <w:rsid w:val="005E2B61"/>
    <w:rsid w:val="005E535A"/>
    <w:rsid w:val="005E7289"/>
    <w:rsid w:val="005F5823"/>
    <w:rsid w:val="0060285E"/>
    <w:rsid w:val="00604CCF"/>
    <w:rsid w:val="006057D6"/>
    <w:rsid w:val="0061159F"/>
    <w:rsid w:val="006272F9"/>
    <w:rsid w:val="00631883"/>
    <w:rsid w:val="00650852"/>
    <w:rsid w:val="00650FCA"/>
    <w:rsid w:val="00663E72"/>
    <w:rsid w:val="00683A17"/>
    <w:rsid w:val="006C0B1D"/>
    <w:rsid w:val="006D5CF2"/>
    <w:rsid w:val="006E5C02"/>
    <w:rsid w:val="006E7625"/>
    <w:rsid w:val="006F3EEF"/>
    <w:rsid w:val="006F5E22"/>
    <w:rsid w:val="00703580"/>
    <w:rsid w:val="00703F37"/>
    <w:rsid w:val="00704E89"/>
    <w:rsid w:val="00732418"/>
    <w:rsid w:val="007338A0"/>
    <w:rsid w:val="0075717D"/>
    <w:rsid w:val="0076214C"/>
    <w:rsid w:val="00786A26"/>
    <w:rsid w:val="00790713"/>
    <w:rsid w:val="007A10D9"/>
    <w:rsid w:val="007A6879"/>
    <w:rsid w:val="007B1BD3"/>
    <w:rsid w:val="007C518D"/>
    <w:rsid w:val="007D49CE"/>
    <w:rsid w:val="007D6E5F"/>
    <w:rsid w:val="007E68DC"/>
    <w:rsid w:val="007F42A0"/>
    <w:rsid w:val="007F6203"/>
    <w:rsid w:val="007F67E1"/>
    <w:rsid w:val="00805D7E"/>
    <w:rsid w:val="0081410D"/>
    <w:rsid w:val="00820C81"/>
    <w:rsid w:val="00824084"/>
    <w:rsid w:val="008241C1"/>
    <w:rsid w:val="00827780"/>
    <w:rsid w:val="00840D15"/>
    <w:rsid w:val="00864F6F"/>
    <w:rsid w:val="0086581A"/>
    <w:rsid w:val="008941F6"/>
    <w:rsid w:val="008978E1"/>
    <w:rsid w:val="008A1137"/>
    <w:rsid w:val="008A1DA2"/>
    <w:rsid w:val="008A393F"/>
    <w:rsid w:val="008A7FEA"/>
    <w:rsid w:val="008B2507"/>
    <w:rsid w:val="008B7D2D"/>
    <w:rsid w:val="008C310A"/>
    <w:rsid w:val="008D17E7"/>
    <w:rsid w:val="008F099A"/>
    <w:rsid w:val="008F4CC9"/>
    <w:rsid w:val="008F6F5E"/>
    <w:rsid w:val="0090116B"/>
    <w:rsid w:val="0090327C"/>
    <w:rsid w:val="009128DC"/>
    <w:rsid w:val="00915114"/>
    <w:rsid w:val="00943D62"/>
    <w:rsid w:val="009671BD"/>
    <w:rsid w:val="00967863"/>
    <w:rsid w:val="00984DAA"/>
    <w:rsid w:val="00987F34"/>
    <w:rsid w:val="00993895"/>
    <w:rsid w:val="009A0F0F"/>
    <w:rsid w:val="009A2E49"/>
    <w:rsid w:val="009A71CF"/>
    <w:rsid w:val="009A7ECD"/>
    <w:rsid w:val="009B1597"/>
    <w:rsid w:val="009B4D0F"/>
    <w:rsid w:val="009B5278"/>
    <w:rsid w:val="009B6798"/>
    <w:rsid w:val="009C052E"/>
    <w:rsid w:val="009E3BA6"/>
    <w:rsid w:val="009F59A9"/>
    <w:rsid w:val="009F7684"/>
    <w:rsid w:val="009F78D2"/>
    <w:rsid w:val="00A0315C"/>
    <w:rsid w:val="00A04AB2"/>
    <w:rsid w:val="00A1074E"/>
    <w:rsid w:val="00A25410"/>
    <w:rsid w:val="00A27C9F"/>
    <w:rsid w:val="00A347C9"/>
    <w:rsid w:val="00A40A64"/>
    <w:rsid w:val="00A5087B"/>
    <w:rsid w:val="00A57E42"/>
    <w:rsid w:val="00A62259"/>
    <w:rsid w:val="00A62A32"/>
    <w:rsid w:val="00A72B9D"/>
    <w:rsid w:val="00A7357F"/>
    <w:rsid w:val="00A80F1F"/>
    <w:rsid w:val="00A93F4F"/>
    <w:rsid w:val="00A97744"/>
    <w:rsid w:val="00AB011A"/>
    <w:rsid w:val="00AB1B38"/>
    <w:rsid w:val="00AB4D33"/>
    <w:rsid w:val="00AB710A"/>
    <w:rsid w:val="00AD2A2F"/>
    <w:rsid w:val="00AD5E13"/>
    <w:rsid w:val="00AE5CE9"/>
    <w:rsid w:val="00B108E1"/>
    <w:rsid w:val="00B1235C"/>
    <w:rsid w:val="00B15B23"/>
    <w:rsid w:val="00B1750A"/>
    <w:rsid w:val="00B22BAE"/>
    <w:rsid w:val="00B24937"/>
    <w:rsid w:val="00B3531F"/>
    <w:rsid w:val="00B43690"/>
    <w:rsid w:val="00B4548D"/>
    <w:rsid w:val="00B64199"/>
    <w:rsid w:val="00B705B8"/>
    <w:rsid w:val="00B84914"/>
    <w:rsid w:val="00B85427"/>
    <w:rsid w:val="00B93590"/>
    <w:rsid w:val="00BC07BA"/>
    <w:rsid w:val="00BC0802"/>
    <w:rsid w:val="00BC3627"/>
    <w:rsid w:val="00BD61BA"/>
    <w:rsid w:val="00BD62BF"/>
    <w:rsid w:val="00BE4076"/>
    <w:rsid w:val="00BE5AF7"/>
    <w:rsid w:val="00BF4D4F"/>
    <w:rsid w:val="00C007EF"/>
    <w:rsid w:val="00C054CC"/>
    <w:rsid w:val="00C1345F"/>
    <w:rsid w:val="00C141D1"/>
    <w:rsid w:val="00C15A60"/>
    <w:rsid w:val="00C164C0"/>
    <w:rsid w:val="00C23F3E"/>
    <w:rsid w:val="00C37F0A"/>
    <w:rsid w:val="00C4391C"/>
    <w:rsid w:val="00C43E46"/>
    <w:rsid w:val="00C50ACA"/>
    <w:rsid w:val="00C56184"/>
    <w:rsid w:val="00C64107"/>
    <w:rsid w:val="00C6569D"/>
    <w:rsid w:val="00C72523"/>
    <w:rsid w:val="00CA32F5"/>
    <w:rsid w:val="00CD40AB"/>
    <w:rsid w:val="00CE347C"/>
    <w:rsid w:val="00CE3873"/>
    <w:rsid w:val="00CF2FDB"/>
    <w:rsid w:val="00CF3D05"/>
    <w:rsid w:val="00D00C81"/>
    <w:rsid w:val="00D038ED"/>
    <w:rsid w:val="00D06890"/>
    <w:rsid w:val="00D11031"/>
    <w:rsid w:val="00D1230F"/>
    <w:rsid w:val="00D12383"/>
    <w:rsid w:val="00D24B96"/>
    <w:rsid w:val="00D266A3"/>
    <w:rsid w:val="00D52FF6"/>
    <w:rsid w:val="00D606D1"/>
    <w:rsid w:val="00D62D4C"/>
    <w:rsid w:val="00D75774"/>
    <w:rsid w:val="00D7637A"/>
    <w:rsid w:val="00D90817"/>
    <w:rsid w:val="00D93C64"/>
    <w:rsid w:val="00DA1E8E"/>
    <w:rsid w:val="00DA7F18"/>
    <w:rsid w:val="00DB4520"/>
    <w:rsid w:val="00DB78F0"/>
    <w:rsid w:val="00DE39C0"/>
    <w:rsid w:val="00DF2554"/>
    <w:rsid w:val="00DF2852"/>
    <w:rsid w:val="00DF2C2C"/>
    <w:rsid w:val="00DF7EC4"/>
    <w:rsid w:val="00E01CB7"/>
    <w:rsid w:val="00E10B58"/>
    <w:rsid w:val="00E340C3"/>
    <w:rsid w:val="00E51BC7"/>
    <w:rsid w:val="00E62137"/>
    <w:rsid w:val="00E62B14"/>
    <w:rsid w:val="00E81305"/>
    <w:rsid w:val="00E93745"/>
    <w:rsid w:val="00EC0DDC"/>
    <w:rsid w:val="00EC38B2"/>
    <w:rsid w:val="00EC4907"/>
    <w:rsid w:val="00EE067D"/>
    <w:rsid w:val="00F1294F"/>
    <w:rsid w:val="00F21AA5"/>
    <w:rsid w:val="00F228CE"/>
    <w:rsid w:val="00F25706"/>
    <w:rsid w:val="00F32D1A"/>
    <w:rsid w:val="00F5320F"/>
    <w:rsid w:val="00F541B9"/>
    <w:rsid w:val="00F55DA9"/>
    <w:rsid w:val="00F711EB"/>
    <w:rsid w:val="00F8249A"/>
    <w:rsid w:val="00F92CF2"/>
    <w:rsid w:val="00FA5209"/>
    <w:rsid w:val="00FA6D52"/>
    <w:rsid w:val="00FB2B0C"/>
    <w:rsid w:val="00FB53B4"/>
    <w:rsid w:val="00FD4C8F"/>
    <w:rsid w:val="00FD5E4B"/>
    <w:rsid w:val="00FD62A6"/>
    <w:rsid w:val="00FE17FC"/>
    <w:rsid w:val="00FE22F0"/>
    <w:rsid w:val="00FF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349E0-20CB-4D2E-A95A-AED4729C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B44"/>
    <w:pPr>
      <w:ind w:firstLineChars="200" w:firstLine="420"/>
    </w:pPr>
  </w:style>
  <w:style w:type="paragraph" w:styleId="a4">
    <w:name w:val="Balloon Text"/>
    <w:basedOn w:val="a"/>
    <w:link w:val="a5"/>
    <w:uiPriority w:val="99"/>
    <w:semiHidden/>
    <w:unhideWhenUsed/>
    <w:rsid w:val="00915114"/>
    <w:rPr>
      <w:sz w:val="18"/>
      <w:szCs w:val="18"/>
    </w:rPr>
  </w:style>
  <w:style w:type="paragraph" w:styleId="a6">
    <w:name w:val="footer"/>
    <w:basedOn w:val="a"/>
    <w:link w:val="a7"/>
    <w:uiPriority w:val="99"/>
    <w:unhideWhenUsed/>
    <w:rsid w:val="00A62A32"/>
    <w:pPr>
      <w:tabs>
        <w:tab w:val="center" w:pos="4153"/>
        <w:tab w:val="right" w:pos="8306"/>
      </w:tabs>
      <w:snapToGrid w:val="0"/>
      <w:jc w:val="left"/>
    </w:pPr>
    <w:rPr>
      <w:sz w:val="18"/>
      <w:szCs w:val="18"/>
    </w:rPr>
  </w:style>
  <w:style w:type="character" w:customStyle="1" w:styleId="a7">
    <w:name w:val="页脚 字符"/>
    <w:basedOn w:val="a0"/>
    <w:link w:val="a6"/>
    <w:uiPriority w:val="99"/>
    <w:rsid w:val="00A62A32"/>
    <w:rPr>
      <w:sz w:val="18"/>
      <w:szCs w:val="18"/>
    </w:rPr>
  </w:style>
  <w:style w:type="table" w:customStyle="1" w:styleId="1">
    <w:name w:val="网格型1"/>
    <w:basedOn w:val="a1"/>
    <w:next w:val="a8"/>
    <w:uiPriority w:val="59"/>
    <w:rsid w:val="00915114"/>
    <w:pPr>
      <w:widowControl w:val="0"/>
      <w:jc w:val="both"/>
    </w:pPr>
    <w:rPr>
      <w:rFonts w:ascii="Times New Roman" w:eastAsia="宋体" w:hAnsi="Times New Roman" w:cs="Times New Roman"/>
      <w:kern w:val="0"/>
      <w:sz w:val="20"/>
      <w:szCs w:val="2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915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1">
    <w:name w:val="g1"/>
    <w:uiPriority w:val="99"/>
    <w:semiHidden/>
    <w:unhideWhenUsed/>
    <w:rsid w:val="00915114"/>
    <w:rPr>
      <w:rFonts w:ascii="Calibri" w:eastAsia="宋体" w:hAnsi="Calibri" w:cs="Times New Roman"/>
      <w:kern w:val="0"/>
      <w:sz w:val="20"/>
      <w:szCs w:val="20"/>
      <w:lang w:val="en"/>
    </w:rPr>
    <w:tblPr>
      <w:tblInd w:w="0" w:type="dxa"/>
      <w:tblCellMar>
        <w:top w:w="0" w:type="dxa"/>
        <w:left w:w="108" w:type="dxa"/>
        <w:bottom w:w="0" w:type="dxa"/>
        <w:right w:w="108" w:type="dxa"/>
      </w:tblCellMar>
    </w:tblPr>
  </w:style>
  <w:style w:type="character" w:customStyle="1" w:styleId="a5">
    <w:name w:val="批注框文本 字符"/>
    <w:basedOn w:val="a0"/>
    <w:link w:val="a4"/>
    <w:uiPriority w:val="99"/>
    <w:semiHidden/>
    <w:rsid w:val="00915114"/>
    <w:rPr>
      <w:sz w:val="18"/>
      <w:szCs w:val="18"/>
    </w:rPr>
  </w:style>
  <w:style w:type="paragraph" w:styleId="a9">
    <w:name w:val="header"/>
    <w:basedOn w:val="a"/>
    <w:link w:val="aa"/>
    <w:uiPriority w:val="99"/>
    <w:unhideWhenUsed/>
    <w:rsid w:val="00915114"/>
    <w:pPr>
      <w:pBdr>
        <w:bottom w:val="single" w:sz="6" w:space="1" w:color="auto"/>
      </w:pBdr>
      <w:tabs>
        <w:tab w:val="center" w:pos="4153"/>
        <w:tab w:val="right" w:pos="8306"/>
      </w:tabs>
      <w:snapToGrid w:val="0"/>
      <w:jc w:val="center"/>
    </w:pPr>
    <w:rPr>
      <w:sz w:val="18"/>
      <w:szCs w:val="18"/>
      <w:lang w:val="en"/>
    </w:rPr>
  </w:style>
  <w:style w:type="character" w:customStyle="1" w:styleId="aa">
    <w:name w:val="页眉 字符"/>
    <w:basedOn w:val="a0"/>
    <w:link w:val="a9"/>
    <w:uiPriority w:val="99"/>
    <w:rsid w:val="00915114"/>
    <w:rPr>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52773">
      <w:bodyDiv w:val="1"/>
      <w:marLeft w:val="0"/>
      <w:marRight w:val="0"/>
      <w:marTop w:val="0"/>
      <w:marBottom w:val="0"/>
      <w:divBdr>
        <w:top w:val="none" w:sz="0" w:space="0" w:color="auto"/>
        <w:left w:val="none" w:sz="0" w:space="0" w:color="auto"/>
        <w:bottom w:val="none" w:sz="0" w:space="0" w:color="auto"/>
        <w:right w:val="none" w:sz="0" w:space="0" w:color="auto"/>
      </w:divBdr>
    </w:div>
    <w:div w:id="798105307">
      <w:bodyDiv w:val="1"/>
      <w:marLeft w:val="0"/>
      <w:marRight w:val="0"/>
      <w:marTop w:val="0"/>
      <w:marBottom w:val="0"/>
      <w:divBdr>
        <w:top w:val="none" w:sz="0" w:space="0" w:color="auto"/>
        <w:left w:val="none" w:sz="0" w:space="0" w:color="auto"/>
        <w:bottom w:val="none" w:sz="0" w:space="0" w:color="auto"/>
        <w:right w:val="none" w:sz="0" w:space="0" w:color="auto"/>
      </w:divBdr>
    </w:div>
    <w:div w:id="1073234058">
      <w:bodyDiv w:val="1"/>
      <w:marLeft w:val="0"/>
      <w:marRight w:val="0"/>
      <w:marTop w:val="0"/>
      <w:marBottom w:val="0"/>
      <w:divBdr>
        <w:top w:val="none" w:sz="0" w:space="0" w:color="auto"/>
        <w:left w:val="none" w:sz="0" w:space="0" w:color="auto"/>
        <w:bottom w:val="none" w:sz="0" w:space="0" w:color="auto"/>
        <w:right w:val="none" w:sz="0" w:space="0" w:color="auto"/>
      </w:divBdr>
    </w:div>
    <w:div w:id="1153985895">
      <w:bodyDiv w:val="1"/>
      <w:marLeft w:val="0"/>
      <w:marRight w:val="0"/>
      <w:marTop w:val="0"/>
      <w:marBottom w:val="0"/>
      <w:divBdr>
        <w:top w:val="none" w:sz="0" w:space="0" w:color="auto"/>
        <w:left w:val="none" w:sz="0" w:space="0" w:color="auto"/>
        <w:bottom w:val="none" w:sz="0" w:space="0" w:color="auto"/>
        <w:right w:val="none" w:sz="0" w:space="0" w:color="auto"/>
      </w:divBdr>
    </w:div>
    <w:div w:id="1719469478">
      <w:bodyDiv w:val="1"/>
      <w:marLeft w:val="0"/>
      <w:marRight w:val="0"/>
      <w:marTop w:val="0"/>
      <w:marBottom w:val="0"/>
      <w:divBdr>
        <w:top w:val="none" w:sz="0" w:space="0" w:color="auto"/>
        <w:left w:val="none" w:sz="0" w:space="0" w:color="auto"/>
        <w:bottom w:val="none" w:sz="0" w:space="0" w:color="auto"/>
        <w:right w:val="none" w:sz="0" w:space="0" w:color="auto"/>
      </w:divBdr>
      <w:divsChild>
        <w:div w:id="792602354">
          <w:marLeft w:val="0"/>
          <w:marRight w:val="0"/>
          <w:marTop w:val="0"/>
          <w:marBottom w:val="0"/>
          <w:divBdr>
            <w:top w:val="single" w:sz="2" w:space="0" w:color="auto"/>
            <w:left w:val="single" w:sz="2" w:space="0" w:color="auto"/>
            <w:bottom w:val="single" w:sz="2" w:space="0" w:color="auto"/>
            <w:right w:val="single" w:sz="2" w:space="0" w:color="auto"/>
          </w:divBdr>
        </w:div>
        <w:div w:id="777139009">
          <w:marLeft w:val="0"/>
          <w:marRight w:val="0"/>
          <w:marTop w:val="0"/>
          <w:marBottom w:val="0"/>
          <w:divBdr>
            <w:top w:val="single" w:sz="2" w:space="0" w:color="auto"/>
            <w:left w:val="single" w:sz="2" w:space="0" w:color="auto"/>
            <w:bottom w:val="single" w:sz="2" w:space="0" w:color="auto"/>
            <w:right w:val="single" w:sz="2" w:space="0" w:color="auto"/>
          </w:divBdr>
        </w:div>
        <w:div w:id="1665471360">
          <w:marLeft w:val="0"/>
          <w:marRight w:val="0"/>
          <w:marTop w:val="0"/>
          <w:marBottom w:val="0"/>
          <w:divBdr>
            <w:top w:val="single" w:sz="2" w:space="0" w:color="auto"/>
            <w:left w:val="single" w:sz="2" w:space="0" w:color="auto"/>
            <w:bottom w:val="single" w:sz="2" w:space="0" w:color="auto"/>
            <w:right w:val="single" w:sz="2" w:space="0" w:color="auto"/>
          </w:divBdr>
        </w:div>
        <w:div w:id="725953295">
          <w:marLeft w:val="0"/>
          <w:marRight w:val="0"/>
          <w:marTop w:val="0"/>
          <w:marBottom w:val="0"/>
          <w:divBdr>
            <w:top w:val="single" w:sz="2" w:space="0" w:color="auto"/>
            <w:left w:val="single" w:sz="2" w:space="0" w:color="auto"/>
            <w:bottom w:val="single" w:sz="2" w:space="0" w:color="auto"/>
            <w:right w:val="single" w:sz="2" w:space="0" w:color="auto"/>
          </w:divBdr>
        </w:div>
        <w:div w:id="831945923">
          <w:marLeft w:val="0"/>
          <w:marRight w:val="0"/>
          <w:marTop w:val="0"/>
          <w:marBottom w:val="0"/>
          <w:divBdr>
            <w:top w:val="single" w:sz="2" w:space="0" w:color="auto"/>
            <w:left w:val="single" w:sz="2" w:space="0" w:color="auto"/>
            <w:bottom w:val="single" w:sz="2" w:space="0" w:color="auto"/>
            <w:right w:val="single" w:sz="2" w:space="0" w:color="auto"/>
          </w:divBdr>
        </w:div>
        <w:div w:id="1629820260">
          <w:marLeft w:val="0"/>
          <w:marRight w:val="0"/>
          <w:marTop w:val="0"/>
          <w:marBottom w:val="0"/>
          <w:divBdr>
            <w:top w:val="single" w:sz="2" w:space="0" w:color="auto"/>
            <w:left w:val="single" w:sz="2" w:space="0" w:color="auto"/>
            <w:bottom w:val="single" w:sz="2" w:space="0" w:color="auto"/>
            <w:right w:val="single" w:sz="2" w:space="0" w:color="auto"/>
          </w:divBdr>
        </w:div>
        <w:div w:id="993293920">
          <w:marLeft w:val="0"/>
          <w:marRight w:val="0"/>
          <w:marTop w:val="0"/>
          <w:marBottom w:val="0"/>
          <w:divBdr>
            <w:top w:val="single" w:sz="2" w:space="0" w:color="auto"/>
            <w:left w:val="single" w:sz="2" w:space="0" w:color="auto"/>
            <w:bottom w:val="single" w:sz="2" w:space="0" w:color="auto"/>
            <w:right w:val="single" w:sz="2" w:space="0" w:color="auto"/>
          </w:divBdr>
        </w:div>
        <w:div w:id="1599488302">
          <w:marLeft w:val="0"/>
          <w:marRight w:val="0"/>
          <w:marTop w:val="0"/>
          <w:marBottom w:val="0"/>
          <w:divBdr>
            <w:top w:val="single" w:sz="2" w:space="0" w:color="auto"/>
            <w:left w:val="single" w:sz="2" w:space="0" w:color="auto"/>
            <w:bottom w:val="single" w:sz="2" w:space="0" w:color="auto"/>
            <w:right w:val="single" w:sz="2" w:space="0" w:color="auto"/>
          </w:divBdr>
        </w:div>
        <w:div w:id="205988495">
          <w:marLeft w:val="0"/>
          <w:marRight w:val="0"/>
          <w:marTop w:val="0"/>
          <w:marBottom w:val="0"/>
          <w:divBdr>
            <w:top w:val="single" w:sz="2" w:space="0" w:color="auto"/>
            <w:left w:val="single" w:sz="2" w:space="0" w:color="auto"/>
            <w:bottom w:val="single" w:sz="2" w:space="0" w:color="auto"/>
            <w:right w:val="single" w:sz="2" w:space="0" w:color="auto"/>
          </w:divBdr>
        </w:div>
      </w:divsChild>
    </w:div>
    <w:div w:id="1919242061">
      <w:bodyDiv w:val="1"/>
      <w:marLeft w:val="0"/>
      <w:marRight w:val="0"/>
      <w:marTop w:val="0"/>
      <w:marBottom w:val="0"/>
      <w:divBdr>
        <w:top w:val="none" w:sz="0" w:space="0" w:color="auto"/>
        <w:left w:val="none" w:sz="0" w:space="0" w:color="auto"/>
        <w:bottom w:val="none" w:sz="0" w:space="0" w:color="auto"/>
        <w:right w:val="none" w:sz="0" w:space="0" w:color="auto"/>
      </w:divBdr>
    </w:div>
    <w:div w:id="2112821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8</Pages>
  <Words>2936</Words>
  <Characters>16736</Characters>
  <Application>Microsoft Office Word</Application>
  <DocSecurity>0</DocSecurity>
  <Lines>139</Lines>
  <Paragraphs>39</Paragraphs>
  <ScaleCrop>false</ScaleCrop>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余浩</cp:lastModifiedBy>
  <cp:revision>24</cp:revision>
  <dcterms:created xsi:type="dcterms:W3CDTF">2024-09-13T13:20:00Z</dcterms:created>
  <dcterms:modified xsi:type="dcterms:W3CDTF">2025-09-11T07:49:00Z</dcterms:modified>
</cp:coreProperties>
</file>